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8E96" w14:textId="749552F2" w:rsidR="00022DBA" w:rsidRPr="005D2F2B" w:rsidRDefault="000E7072" w:rsidP="00022DBA">
      <w:pPr>
        <w:pStyle w:val="Default"/>
        <w:rPr>
          <w:sz w:val="28"/>
          <w:szCs w:val="28"/>
          <w:u w:val="none"/>
        </w:rPr>
      </w:pPr>
      <w:r>
        <w:rPr>
          <w:noProof/>
          <w:sz w:val="28"/>
          <w:szCs w:val="28"/>
          <w:u w:val="none"/>
        </w:rPr>
        <w:drawing>
          <wp:anchor distT="0" distB="0" distL="114300" distR="114300" simplePos="0" relativeHeight="251658240" behindDoc="1" locked="0" layoutInCell="1" allowOverlap="1" wp14:anchorId="1F9C16A9" wp14:editId="73471F0E">
            <wp:simplePos x="0" y="0"/>
            <wp:positionH relativeFrom="page">
              <wp:posOffset>19050</wp:posOffset>
            </wp:positionH>
            <wp:positionV relativeFrom="paragraph">
              <wp:posOffset>-914400</wp:posOffset>
            </wp:positionV>
            <wp:extent cx="7872805" cy="1019175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875701" cy="10195499"/>
                    </a:xfrm>
                    <a:prstGeom prst="rect">
                      <a:avLst/>
                    </a:prstGeom>
                  </pic:spPr>
                </pic:pic>
              </a:graphicData>
            </a:graphic>
            <wp14:sizeRelH relativeFrom="page">
              <wp14:pctWidth>0</wp14:pctWidth>
            </wp14:sizeRelH>
            <wp14:sizeRelV relativeFrom="page">
              <wp14:pctHeight>0</wp14:pctHeight>
            </wp14:sizeRelV>
          </wp:anchor>
        </w:drawing>
      </w:r>
    </w:p>
    <w:p w14:paraId="03C1BB2B" w14:textId="77777777" w:rsidR="00E853D0" w:rsidRPr="000E7072" w:rsidRDefault="00E853D0" w:rsidP="00E853D0">
      <w:pPr>
        <w:ind w:left="0" w:firstLine="0"/>
        <w:jc w:val="center"/>
        <w:rPr>
          <w:rFonts w:ascii="Corbel" w:hAnsi="Corbel" w:cstheme="minorBidi"/>
          <w:b/>
          <w:color w:val="auto"/>
          <w:sz w:val="36"/>
          <w:szCs w:val="36"/>
          <w:u w:val="none"/>
        </w:rPr>
      </w:pPr>
    </w:p>
    <w:p w14:paraId="3A360F4D" w14:textId="77777777" w:rsidR="00E853D0" w:rsidRPr="005D2F2B" w:rsidRDefault="00E853D0" w:rsidP="00E853D0">
      <w:pPr>
        <w:ind w:left="0" w:firstLine="0"/>
        <w:jc w:val="center"/>
        <w:rPr>
          <w:rFonts w:ascii="Corbel" w:hAnsi="Corbel" w:cstheme="minorBidi"/>
          <w:b/>
          <w:color w:val="auto"/>
          <w:sz w:val="28"/>
          <w:szCs w:val="28"/>
          <w:u w:val="none"/>
        </w:rPr>
      </w:pPr>
    </w:p>
    <w:p w14:paraId="46F5DD08" w14:textId="77777777" w:rsidR="00E853D0" w:rsidRPr="005D2F2B" w:rsidRDefault="00E853D0" w:rsidP="00E853D0">
      <w:pPr>
        <w:ind w:left="0" w:firstLine="0"/>
        <w:jc w:val="center"/>
        <w:rPr>
          <w:rFonts w:ascii="Corbel" w:hAnsi="Corbel" w:cstheme="minorBidi"/>
          <w:b/>
          <w:color w:val="auto"/>
          <w:sz w:val="28"/>
          <w:szCs w:val="28"/>
          <w:u w:val="none"/>
        </w:rPr>
      </w:pPr>
    </w:p>
    <w:p w14:paraId="612D5080" w14:textId="77777777" w:rsidR="00E853D0" w:rsidRPr="005D2F2B" w:rsidRDefault="00E853D0" w:rsidP="00E853D0">
      <w:pPr>
        <w:ind w:left="0" w:firstLine="0"/>
        <w:jc w:val="center"/>
        <w:rPr>
          <w:rFonts w:ascii="Corbel" w:hAnsi="Corbel" w:cstheme="minorBidi"/>
          <w:b/>
          <w:color w:val="auto"/>
          <w:sz w:val="28"/>
          <w:szCs w:val="28"/>
          <w:u w:val="none"/>
        </w:rPr>
      </w:pPr>
    </w:p>
    <w:p w14:paraId="22761B1D" w14:textId="77777777" w:rsidR="00E853D0" w:rsidRPr="005D2F2B" w:rsidRDefault="00E853D0" w:rsidP="00E853D0">
      <w:pPr>
        <w:ind w:left="0" w:firstLine="0"/>
        <w:jc w:val="center"/>
        <w:rPr>
          <w:rFonts w:ascii="Corbel" w:hAnsi="Corbel" w:cstheme="minorBidi"/>
          <w:b/>
          <w:color w:val="auto"/>
          <w:sz w:val="28"/>
          <w:szCs w:val="28"/>
          <w:u w:val="none"/>
        </w:rPr>
      </w:pPr>
    </w:p>
    <w:p w14:paraId="27FAEE7E" w14:textId="00366D8C" w:rsidR="00E853D0" w:rsidRDefault="00E853D0" w:rsidP="00E853D0">
      <w:pPr>
        <w:ind w:left="0" w:firstLine="0"/>
        <w:jc w:val="center"/>
        <w:rPr>
          <w:rFonts w:ascii="Corbel" w:hAnsi="Corbel" w:cstheme="minorBidi"/>
          <w:b/>
          <w:color w:val="auto"/>
          <w:sz w:val="28"/>
          <w:szCs w:val="28"/>
          <w:u w:val="none"/>
        </w:rPr>
      </w:pPr>
    </w:p>
    <w:p w14:paraId="43155379" w14:textId="24302AF7" w:rsidR="000E7072" w:rsidRDefault="000E7072" w:rsidP="00E853D0">
      <w:pPr>
        <w:ind w:left="0" w:firstLine="0"/>
        <w:jc w:val="center"/>
        <w:rPr>
          <w:rFonts w:ascii="Corbel" w:hAnsi="Corbel" w:cstheme="minorBidi"/>
          <w:b/>
          <w:color w:val="auto"/>
          <w:sz w:val="28"/>
          <w:szCs w:val="28"/>
          <w:u w:val="none"/>
        </w:rPr>
      </w:pPr>
    </w:p>
    <w:p w14:paraId="66ED1E12" w14:textId="77777777" w:rsidR="000E7072" w:rsidRPr="00E853D0" w:rsidRDefault="000E7072" w:rsidP="00E853D0">
      <w:pPr>
        <w:ind w:left="0" w:firstLine="0"/>
        <w:jc w:val="center"/>
        <w:rPr>
          <w:rFonts w:ascii="Corbel" w:hAnsi="Corbel" w:cstheme="minorBidi"/>
          <w:b/>
          <w:color w:val="auto"/>
          <w:sz w:val="28"/>
          <w:szCs w:val="28"/>
          <w:u w:val="none"/>
        </w:rPr>
      </w:pPr>
    </w:p>
    <w:p w14:paraId="633C44CD" w14:textId="3EFAC857" w:rsidR="00E853D0" w:rsidRPr="000E7072" w:rsidRDefault="00E853D0" w:rsidP="000E7072">
      <w:pPr>
        <w:ind w:left="0" w:firstLine="0"/>
        <w:rPr>
          <w:rFonts w:ascii="Corbel" w:hAnsi="Corbel" w:cstheme="minorBidi"/>
          <w:b/>
          <w:bCs/>
          <w:color w:val="auto"/>
          <w:sz w:val="40"/>
          <w:szCs w:val="40"/>
          <w:u w:val="none"/>
        </w:rPr>
      </w:pPr>
      <w:r w:rsidRPr="000E7072">
        <w:rPr>
          <w:rFonts w:ascii="Corbel" w:hAnsi="Corbel" w:cstheme="minorBidi"/>
          <w:b/>
          <w:bCs/>
          <w:color w:val="auto"/>
          <w:sz w:val="40"/>
          <w:szCs w:val="40"/>
          <w:u w:val="none"/>
        </w:rPr>
        <w:t xml:space="preserve">SOCIAL SECURITY DISABILITY INSURANCE (SSDI) BENEFICIARIES WHO ARE BLIND OR VISUALLY IMPAIRED: </w:t>
      </w:r>
      <w:r w:rsidRPr="000E7072">
        <w:rPr>
          <w:rFonts w:ascii="Corbel" w:hAnsi="Corbel" w:cstheme="minorBidi"/>
          <w:b/>
          <w:bCs/>
          <w:i/>
          <w:color w:val="auto"/>
          <w:sz w:val="40"/>
          <w:szCs w:val="40"/>
          <w:u w:val="none"/>
        </w:rPr>
        <w:t>WORKING TO IMPROVE EMPLOYMENT OUTCOMES</w:t>
      </w:r>
    </w:p>
    <w:p w14:paraId="1A284F61" w14:textId="77777777" w:rsidR="00E853D0" w:rsidRPr="00E853D0" w:rsidRDefault="00E853D0" w:rsidP="00E853D0">
      <w:pPr>
        <w:ind w:left="0" w:firstLine="0"/>
        <w:jc w:val="center"/>
        <w:rPr>
          <w:rFonts w:ascii="Corbel" w:hAnsi="Corbel" w:cstheme="minorBidi"/>
          <w:b/>
          <w:color w:val="auto"/>
          <w:sz w:val="28"/>
          <w:szCs w:val="28"/>
          <w:u w:val="none"/>
        </w:rPr>
      </w:pPr>
      <w:r w:rsidRPr="00E853D0">
        <w:rPr>
          <w:rFonts w:ascii="Corbel" w:hAnsi="Corbel" w:cstheme="minorBidi"/>
          <w:b/>
          <w:color w:val="auto"/>
          <w:sz w:val="28"/>
          <w:szCs w:val="28"/>
          <w:u w:val="none"/>
        </w:rPr>
        <w:t xml:space="preserve"> </w:t>
      </w:r>
    </w:p>
    <w:p w14:paraId="177A0D17" w14:textId="77777777" w:rsidR="00E853D0" w:rsidRPr="000E7072" w:rsidRDefault="00E853D0" w:rsidP="000E7072">
      <w:pPr>
        <w:ind w:left="0" w:firstLine="0"/>
        <w:rPr>
          <w:rFonts w:ascii="Corbel" w:hAnsi="Corbel" w:cstheme="minorBidi"/>
          <w:color w:val="auto"/>
          <w:sz w:val="32"/>
          <w:szCs w:val="32"/>
          <w:u w:val="none"/>
        </w:rPr>
      </w:pPr>
      <w:r w:rsidRPr="000E7072">
        <w:rPr>
          <w:rFonts w:ascii="Corbel" w:hAnsi="Corbel" w:cstheme="minorBidi"/>
          <w:color w:val="auto"/>
          <w:sz w:val="32"/>
          <w:szCs w:val="32"/>
          <w:u w:val="none"/>
        </w:rPr>
        <w:t xml:space="preserve">AN EVIDENCE-BASED PRACTICE GUIDE FOR </w:t>
      </w:r>
    </w:p>
    <w:p w14:paraId="12E703B3" w14:textId="0B8B478F" w:rsidR="00E853D0" w:rsidRPr="000E7072" w:rsidRDefault="00E853D0" w:rsidP="000E7072">
      <w:pPr>
        <w:ind w:left="0" w:firstLine="0"/>
        <w:rPr>
          <w:rFonts w:ascii="Corbel" w:hAnsi="Corbel" w:cstheme="minorBidi"/>
          <w:color w:val="auto"/>
          <w:sz w:val="32"/>
          <w:szCs w:val="32"/>
          <w:u w:val="none"/>
        </w:rPr>
      </w:pPr>
      <w:r w:rsidRPr="000E7072">
        <w:rPr>
          <w:rFonts w:ascii="Corbel" w:hAnsi="Corbel" w:cstheme="minorBidi"/>
          <w:color w:val="auto"/>
          <w:sz w:val="32"/>
          <w:szCs w:val="32"/>
          <w:u w:val="none"/>
        </w:rPr>
        <w:t>VOCATIONAL REHABILITATION AGENCIES AND STAFF</w:t>
      </w:r>
    </w:p>
    <w:p w14:paraId="4385B1A9" w14:textId="77777777" w:rsidR="00E853D0" w:rsidRPr="00E853D0" w:rsidRDefault="00E853D0" w:rsidP="00E853D0">
      <w:pPr>
        <w:ind w:left="0" w:firstLine="0"/>
        <w:jc w:val="center"/>
        <w:rPr>
          <w:rFonts w:ascii="Corbel" w:hAnsi="Corbel" w:cstheme="minorBidi"/>
          <w:b/>
          <w:color w:val="auto"/>
          <w:sz w:val="28"/>
          <w:szCs w:val="28"/>
          <w:u w:val="none"/>
        </w:rPr>
      </w:pPr>
    </w:p>
    <w:p w14:paraId="7AFD6CBE" w14:textId="77777777" w:rsidR="00E853D0" w:rsidRPr="000E7072" w:rsidRDefault="00E853D0" w:rsidP="000E7072">
      <w:pPr>
        <w:ind w:left="0" w:firstLine="0"/>
        <w:rPr>
          <w:rFonts w:ascii="Corbel" w:hAnsi="Corbel" w:cstheme="minorBidi"/>
          <w:color w:val="auto"/>
          <w:sz w:val="32"/>
          <w:szCs w:val="32"/>
          <w:u w:val="none"/>
        </w:rPr>
      </w:pPr>
      <w:r w:rsidRPr="000E7072">
        <w:rPr>
          <w:rFonts w:ascii="Corbel" w:hAnsi="Corbel" w:cstheme="minorBidi"/>
          <w:color w:val="auto"/>
          <w:sz w:val="32"/>
          <w:szCs w:val="32"/>
          <w:u w:val="none"/>
        </w:rPr>
        <w:t>J. Martin Giesen, Ph.D.</w:t>
      </w:r>
    </w:p>
    <w:p w14:paraId="6741B8BF" w14:textId="77777777" w:rsidR="00E853D0" w:rsidRPr="000E7072" w:rsidRDefault="00E853D0" w:rsidP="000E7072">
      <w:pPr>
        <w:ind w:left="0" w:firstLine="0"/>
        <w:rPr>
          <w:rFonts w:ascii="Corbel" w:hAnsi="Corbel" w:cstheme="minorBidi"/>
          <w:color w:val="auto"/>
          <w:sz w:val="32"/>
          <w:szCs w:val="32"/>
          <w:u w:val="none"/>
        </w:rPr>
      </w:pPr>
      <w:r w:rsidRPr="000E7072">
        <w:rPr>
          <w:rFonts w:ascii="Corbel" w:hAnsi="Corbel" w:cstheme="minorBidi"/>
          <w:color w:val="auto"/>
          <w:sz w:val="32"/>
          <w:szCs w:val="32"/>
          <w:u w:val="none"/>
        </w:rPr>
        <w:t>Adele Crudden, Ph.D., CRC</w:t>
      </w:r>
    </w:p>
    <w:p w14:paraId="5F595DD0" w14:textId="77777777" w:rsidR="00E853D0" w:rsidRPr="000E7072" w:rsidRDefault="00E853D0" w:rsidP="000E7072">
      <w:pPr>
        <w:ind w:left="0" w:firstLine="0"/>
        <w:rPr>
          <w:rFonts w:ascii="Corbel" w:hAnsi="Corbel" w:cstheme="minorBidi"/>
          <w:color w:val="auto"/>
          <w:sz w:val="32"/>
          <w:szCs w:val="32"/>
          <w:u w:val="none"/>
        </w:rPr>
      </w:pPr>
      <w:r w:rsidRPr="000E7072">
        <w:rPr>
          <w:rFonts w:ascii="Corbel" w:hAnsi="Corbel" w:cstheme="minorBidi"/>
          <w:color w:val="auto"/>
          <w:sz w:val="32"/>
          <w:szCs w:val="32"/>
          <w:u w:val="none"/>
        </w:rPr>
        <w:t>B. J. LeJeune, M.Ed., CRC, CVRT</w:t>
      </w:r>
    </w:p>
    <w:p w14:paraId="5A25465D" w14:textId="77777777" w:rsidR="00E853D0" w:rsidRPr="000E7072" w:rsidRDefault="00E853D0" w:rsidP="000E7072">
      <w:pPr>
        <w:ind w:left="0" w:firstLine="0"/>
        <w:rPr>
          <w:rFonts w:ascii="Corbel" w:hAnsi="Corbel" w:cstheme="minorBidi"/>
          <w:color w:val="auto"/>
          <w:sz w:val="32"/>
          <w:szCs w:val="32"/>
          <w:u w:val="none"/>
        </w:rPr>
      </w:pPr>
    </w:p>
    <w:p w14:paraId="6309481B" w14:textId="4DEE4CB1" w:rsidR="00E853D0" w:rsidRDefault="00E82AE0" w:rsidP="000E7072">
      <w:pPr>
        <w:ind w:left="0" w:firstLine="0"/>
        <w:rPr>
          <w:rFonts w:ascii="Corbel" w:hAnsi="Corbel" w:cstheme="minorBidi"/>
          <w:color w:val="auto"/>
          <w:sz w:val="32"/>
          <w:szCs w:val="32"/>
          <w:u w:val="none"/>
        </w:rPr>
      </w:pPr>
      <w:r w:rsidRPr="000E7072">
        <w:rPr>
          <w:rFonts w:ascii="Corbel" w:hAnsi="Corbel" w:cstheme="minorBidi"/>
          <w:color w:val="auto"/>
          <w:sz w:val="32"/>
          <w:szCs w:val="32"/>
          <w:u w:val="none"/>
        </w:rPr>
        <w:t>March 2017</w:t>
      </w:r>
    </w:p>
    <w:p w14:paraId="4A00FE3D" w14:textId="23263F22" w:rsidR="001E21FE" w:rsidRDefault="001E21FE" w:rsidP="000E7072">
      <w:pPr>
        <w:ind w:left="0" w:firstLine="0"/>
        <w:rPr>
          <w:rFonts w:ascii="Corbel" w:hAnsi="Corbel" w:cstheme="minorBidi"/>
          <w:color w:val="auto"/>
          <w:sz w:val="32"/>
          <w:szCs w:val="32"/>
          <w:u w:val="none"/>
        </w:rPr>
      </w:pPr>
    </w:p>
    <w:p w14:paraId="7F61299A" w14:textId="4D8606EF" w:rsidR="001E21FE" w:rsidRDefault="001E21FE" w:rsidP="000E7072">
      <w:pPr>
        <w:ind w:left="0" w:firstLine="0"/>
        <w:rPr>
          <w:rFonts w:ascii="Corbel" w:hAnsi="Corbel" w:cstheme="minorBidi"/>
          <w:color w:val="auto"/>
          <w:sz w:val="32"/>
          <w:szCs w:val="32"/>
          <w:u w:val="none"/>
        </w:rPr>
      </w:pPr>
    </w:p>
    <w:p w14:paraId="29C4E0C2" w14:textId="6E2129BC" w:rsidR="001E21FE" w:rsidRDefault="001E21FE" w:rsidP="001E21FE">
      <w:pPr>
        <w:tabs>
          <w:tab w:val="left" w:pos="1320"/>
        </w:tabs>
        <w:ind w:left="0" w:firstLine="0"/>
        <w:rPr>
          <w:rFonts w:ascii="Corbel" w:hAnsi="Corbel" w:cstheme="minorBidi"/>
          <w:color w:val="auto"/>
          <w:sz w:val="32"/>
          <w:szCs w:val="32"/>
          <w:u w:val="none"/>
        </w:rPr>
      </w:pPr>
      <w:r>
        <w:rPr>
          <w:rFonts w:ascii="Corbel" w:hAnsi="Corbel" w:cstheme="minorBidi"/>
          <w:color w:val="auto"/>
          <w:sz w:val="32"/>
          <w:szCs w:val="32"/>
          <w:u w:val="none"/>
        </w:rPr>
        <w:tab/>
      </w:r>
    </w:p>
    <w:p w14:paraId="1F2D75C9" w14:textId="77777777" w:rsidR="001E21FE" w:rsidRDefault="001E21FE" w:rsidP="001E21FE">
      <w:pPr>
        <w:ind w:left="0" w:firstLine="0"/>
        <w:rPr>
          <w:rFonts w:ascii="Corbel" w:hAnsi="Corbel"/>
          <w:sz w:val="32"/>
          <w:szCs w:val="32"/>
        </w:rPr>
      </w:pPr>
    </w:p>
    <w:p w14:paraId="2B6A4F9C" w14:textId="77777777" w:rsidR="001E21FE" w:rsidRDefault="001E21FE" w:rsidP="001E21FE">
      <w:pPr>
        <w:ind w:left="0" w:firstLine="0"/>
        <w:rPr>
          <w:rFonts w:ascii="Corbel" w:hAnsi="Corbel"/>
          <w:sz w:val="32"/>
          <w:szCs w:val="32"/>
        </w:rPr>
      </w:pPr>
    </w:p>
    <w:p w14:paraId="5E7B643B" w14:textId="287CE20C" w:rsidR="001E21FE" w:rsidRPr="001E21FE" w:rsidRDefault="001E21FE" w:rsidP="001E21FE">
      <w:pPr>
        <w:ind w:left="0" w:firstLine="0"/>
        <w:rPr>
          <w:rFonts w:ascii="Corbel" w:hAnsi="Corbel"/>
          <w:u w:val="none"/>
        </w:rPr>
      </w:pPr>
      <w:r w:rsidRPr="001E21FE">
        <w:rPr>
          <w:rFonts w:ascii="Corbel" w:hAnsi="Corbel"/>
          <w:u w:val="none"/>
        </w:rPr>
        <w:t xml:space="preserve">The contents of this report were developed under a grant from the U.S. </w:t>
      </w:r>
    </w:p>
    <w:p w14:paraId="3EC11C80" w14:textId="77777777" w:rsidR="001E21FE" w:rsidRPr="001E21FE" w:rsidRDefault="001E21FE" w:rsidP="001E21FE">
      <w:pPr>
        <w:ind w:left="0" w:firstLine="0"/>
        <w:rPr>
          <w:rFonts w:ascii="Corbel" w:hAnsi="Corbel"/>
          <w:u w:val="none"/>
        </w:rPr>
      </w:pPr>
      <w:r w:rsidRPr="001E21FE">
        <w:rPr>
          <w:rFonts w:ascii="Corbel" w:hAnsi="Corbel"/>
          <w:u w:val="none"/>
        </w:rPr>
        <w:t xml:space="preserve">Department of Health and Human Services, NIDILRR grant 90RT5011-01-00: </w:t>
      </w:r>
    </w:p>
    <w:p w14:paraId="116F3804" w14:textId="77777777" w:rsidR="001E21FE" w:rsidRPr="001E21FE" w:rsidRDefault="001E21FE" w:rsidP="001E21FE">
      <w:pPr>
        <w:ind w:left="0" w:firstLine="0"/>
        <w:rPr>
          <w:rFonts w:ascii="Corbel" w:hAnsi="Corbel"/>
          <w:i/>
          <w:u w:val="none"/>
        </w:rPr>
      </w:pPr>
      <w:r w:rsidRPr="001E21FE">
        <w:rPr>
          <w:rFonts w:ascii="Corbel" w:hAnsi="Corbel"/>
          <w:i/>
          <w:u w:val="none"/>
        </w:rPr>
        <w:t xml:space="preserve">Rehabilitation Research and Training Center on Employment Outcomes </w:t>
      </w:r>
    </w:p>
    <w:p w14:paraId="72C498F0" w14:textId="77777777" w:rsidR="001E21FE" w:rsidRPr="001E21FE" w:rsidRDefault="001E21FE" w:rsidP="001E21FE">
      <w:pPr>
        <w:ind w:left="0" w:firstLine="0"/>
        <w:rPr>
          <w:rFonts w:ascii="Corbel" w:hAnsi="Corbel"/>
          <w:u w:val="none"/>
        </w:rPr>
      </w:pPr>
      <w:r w:rsidRPr="001E21FE">
        <w:rPr>
          <w:rFonts w:ascii="Corbel" w:hAnsi="Corbel"/>
          <w:i/>
          <w:u w:val="none"/>
        </w:rPr>
        <w:t>for Individuals who are Blind or Visually Impaired</w:t>
      </w:r>
      <w:r w:rsidRPr="001E21FE">
        <w:rPr>
          <w:rFonts w:ascii="Corbel" w:hAnsi="Corbel"/>
          <w:u w:val="none"/>
        </w:rPr>
        <w:t xml:space="preserve">. However, these contents </w:t>
      </w:r>
    </w:p>
    <w:p w14:paraId="7B2C24D2" w14:textId="77777777" w:rsidR="001E21FE" w:rsidRPr="001E21FE" w:rsidRDefault="001E21FE" w:rsidP="001E21FE">
      <w:pPr>
        <w:ind w:left="0" w:firstLine="0"/>
        <w:rPr>
          <w:rFonts w:ascii="Corbel" w:hAnsi="Corbel"/>
          <w:u w:val="none"/>
        </w:rPr>
      </w:pPr>
      <w:r w:rsidRPr="001E21FE">
        <w:rPr>
          <w:rFonts w:ascii="Corbel" w:hAnsi="Corbel"/>
          <w:u w:val="none"/>
        </w:rPr>
        <w:t>do not necessarily represent the policy of the Department of Health</w:t>
      </w:r>
    </w:p>
    <w:p w14:paraId="678D9362" w14:textId="77777777" w:rsidR="001E21FE" w:rsidRPr="001E21FE" w:rsidRDefault="001E21FE" w:rsidP="001E21FE">
      <w:pPr>
        <w:ind w:left="0" w:firstLine="0"/>
        <w:rPr>
          <w:rFonts w:ascii="Corbel" w:hAnsi="Corbel"/>
          <w:u w:val="none"/>
        </w:rPr>
      </w:pPr>
      <w:r w:rsidRPr="001E21FE">
        <w:rPr>
          <w:rFonts w:ascii="Corbel" w:hAnsi="Corbel"/>
          <w:u w:val="none"/>
        </w:rPr>
        <w:t xml:space="preserve">and Human Services, and should not indicate endorsement </w:t>
      </w:r>
    </w:p>
    <w:p w14:paraId="73E2D88A" w14:textId="3D5C039F" w:rsidR="001E21FE" w:rsidRPr="001E21FE" w:rsidRDefault="001E21FE" w:rsidP="001E21FE">
      <w:pPr>
        <w:ind w:left="0" w:firstLine="0"/>
        <w:rPr>
          <w:rFonts w:ascii="Corbel" w:hAnsi="Corbel" w:cstheme="minorBidi"/>
          <w:color w:val="auto"/>
          <w:sz w:val="32"/>
          <w:szCs w:val="32"/>
          <w:u w:val="none"/>
        </w:rPr>
      </w:pPr>
      <w:r w:rsidRPr="001E21FE">
        <w:rPr>
          <w:rFonts w:ascii="Corbel" w:hAnsi="Corbel"/>
          <w:u w:val="none"/>
        </w:rPr>
        <w:t>by the Federal Government.</w:t>
      </w:r>
    </w:p>
    <w:p w14:paraId="66A5DD6F" w14:textId="09175189" w:rsidR="00E853D0" w:rsidRPr="001E21FE" w:rsidRDefault="00E853D0" w:rsidP="00E853D0">
      <w:pPr>
        <w:ind w:left="0" w:firstLine="0"/>
        <w:rPr>
          <w:rFonts w:ascii="Corbel" w:hAnsi="Corbel" w:cstheme="minorBidi"/>
          <w:color w:val="auto"/>
          <w:sz w:val="18"/>
          <w:u w:val="none"/>
        </w:rPr>
        <w:sectPr w:rsidR="00E853D0" w:rsidRPr="001E21FE" w:rsidSect="000E7072">
          <w:footerReference w:type="default" r:id="rId9"/>
          <w:pgSz w:w="12240" w:h="15840" w:code="1"/>
          <w:pgMar w:top="1440" w:right="1080" w:bottom="1440" w:left="1080" w:header="720" w:footer="432" w:gutter="0"/>
          <w:cols w:space="720"/>
          <w:titlePg/>
          <w:docGrid w:linePitch="360"/>
        </w:sectPr>
      </w:pPr>
    </w:p>
    <w:p w14:paraId="78D35DB3" w14:textId="19F68382" w:rsidR="005E1FA8" w:rsidRPr="00E853D0" w:rsidRDefault="005E1FA8" w:rsidP="00452D39">
      <w:pPr>
        <w:ind w:left="0" w:firstLine="0"/>
        <w:jc w:val="center"/>
        <w:rPr>
          <w:rFonts w:ascii="Corbel" w:hAnsi="Corbel"/>
          <w:b/>
          <w:bCs/>
          <w:sz w:val="28"/>
          <w:szCs w:val="28"/>
          <w:u w:val="none"/>
        </w:rPr>
      </w:pPr>
      <w:r w:rsidRPr="00E853D0">
        <w:rPr>
          <w:rFonts w:ascii="Corbel" w:hAnsi="Corbel"/>
          <w:b/>
          <w:bCs/>
          <w:sz w:val="28"/>
          <w:szCs w:val="28"/>
          <w:u w:val="none"/>
        </w:rPr>
        <w:lastRenderedPageBreak/>
        <w:t xml:space="preserve">SOCIAL SECURITY DISABILITY INSURANCE (SSDI) BENEFICIARIES WHO ARE BLIND OR VISUALLY IMPAIRED: </w:t>
      </w:r>
    </w:p>
    <w:p w14:paraId="5FBE8719" w14:textId="77777777" w:rsidR="00384A0D" w:rsidRPr="00E853D0" w:rsidRDefault="005E1FA8" w:rsidP="00452D39">
      <w:pPr>
        <w:ind w:left="0" w:firstLine="0"/>
        <w:jc w:val="center"/>
        <w:rPr>
          <w:rFonts w:ascii="Corbel" w:hAnsi="Corbel"/>
          <w:u w:val="none"/>
        </w:rPr>
      </w:pPr>
      <w:r w:rsidRPr="00E853D0">
        <w:rPr>
          <w:rFonts w:ascii="Corbel" w:hAnsi="Corbel"/>
          <w:b/>
          <w:bCs/>
          <w:sz w:val="28"/>
          <w:szCs w:val="28"/>
          <w:u w:val="none"/>
        </w:rPr>
        <w:t>WORKING TO IMPROVE EMPLOYMENT OUTCOMES</w:t>
      </w:r>
    </w:p>
    <w:p w14:paraId="2B51B9A7" w14:textId="77777777" w:rsidR="00384A0D" w:rsidRPr="005D2F2B" w:rsidRDefault="00384A0D" w:rsidP="00022DBA">
      <w:pPr>
        <w:ind w:firstLine="0"/>
        <w:rPr>
          <w:rFonts w:ascii="Corbel" w:hAnsi="Corbel"/>
          <w:sz w:val="26"/>
          <w:szCs w:val="26"/>
          <w:u w:val="none"/>
        </w:rPr>
      </w:pPr>
    </w:p>
    <w:p w14:paraId="75B27662" w14:textId="77777777" w:rsidR="00E672C6" w:rsidRPr="005D2F2B" w:rsidRDefault="00E672C6" w:rsidP="00022DBA">
      <w:pPr>
        <w:ind w:firstLine="0"/>
        <w:rPr>
          <w:rFonts w:ascii="Corbel" w:hAnsi="Corbel"/>
          <w:sz w:val="26"/>
          <w:szCs w:val="26"/>
          <w:u w:val="none"/>
        </w:rPr>
      </w:pPr>
    </w:p>
    <w:p w14:paraId="0C8498C6" w14:textId="77777777" w:rsidR="009670AB" w:rsidRDefault="00907064" w:rsidP="00A1299F">
      <w:pPr>
        <w:pStyle w:val="ListParagraph"/>
        <w:widowControl w:val="0"/>
        <w:ind w:left="0" w:firstLine="720"/>
        <w:rPr>
          <w:rFonts w:ascii="Corbel" w:hAnsi="Corbel" w:cs="Arial"/>
          <w:sz w:val="26"/>
          <w:szCs w:val="26"/>
          <w:u w:val="none"/>
        </w:rPr>
      </w:pPr>
      <w:r w:rsidRPr="00E853D0">
        <w:rPr>
          <w:rFonts w:ascii="Corbel" w:hAnsi="Corbel" w:cs="Arial"/>
          <w:sz w:val="26"/>
          <w:szCs w:val="26"/>
          <w:u w:val="none"/>
        </w:rPr>
        <w:t xml:space="preserve">Many vocational rehabilitation consumers receive disability benefits from the </w:t>
      </w:r>
      <w:r w:rsidR="006B717B" w:rsidRPr="00E853D0">
        <w:rPr>
          <w:rFonts w:ascii="Corbel" w:hAnsi="Corbel" w:cs="Arial"/>
          <w:sz w:val="26"/>
          <w:szCs w:val="26"/>
          <w:u w:val="none"/>
        </w:rPr>
        <w:t>Social Security Administration</w:t>
      </w:r>
      <w:r w:rsidR="00FB4F59" w:rsidRPr="00E853D0">
        <w:rPr>
          <w:rFonts w:ascii="Corbel" w:hAnsi="Corbel" w:cs="Arial"/>
          <w:sz w:val="26"/>
          <w:szCs w:val="26"/>
          <w:u w:val="none"/>
        </w:rPr>
        <w:t xml:space="preserve"> (SSA)</w:t>
      </w:r>
      <w:r w:rsidR="006B717B" w:rsidRPr="00E853D0">
        <w:rPr>
          <w:rFonts w:ascii="Corbel" w:hAnsi="Corbel" w:cs="Arial"/>
          <w:sz w:val="26"/>
          <w:szCs w:val="26"/>
          <w:u w:val="none"/>
        </w:rPr>
        <w:t xml:space="preserve">. </w:t>
      </w:r>
      <w:r w:rsidR="007012FC" w:rsidRPr="007012FC">
        <w:rPr>
          <w:rFonts w:ascii="Corbel" w:hAnsi="Corbel" w:cs="Arial"/>
          <w:sz w:val="26"/>
          <w:szCs w:val="26"/>
          <w:u w:val="none"/>
        </w:rPr>
        <w:t>Persons with disabilities receiving SSDI may be concerned about possible loss of benefits, including Medicaid coverage, upon returning to work, particularly if they believe they cannot earn enough to make employment cost effective for themselves and their families. Recent WIOA legislation states that employed persons with disabilities may be eligible for VR services to advance in their employment</w:t>
      </w:r>
      <w:r w:rsidR="007012FC">
        <w:rPr>
          <w:rFonts w:ascii="Corbel" w:hAnsi="Corbel" w:cs="Arial"/>
          <w:sz w:val="26"/>
          <w:szCs w:val="26"/>
          <w:u w:val="none"/>
        </w:rPr>
        <w:t>,</w:t>
      </w:r>
      <w:r w:rsidR="007012FC" w:rsidRPr="007012FC">
        <w:rPr>
          <w:rFonts w:ascii="Corbel" w:hAnsi="Corbel" w:cs="Arial"/>
          <w:sz w:val="26"/>
          <w:szCs w:val="26"/>
          <w:u w:val="none"/>
        </w:rPr>
        <w:t xml:space="preserve"> and that persons with disabilities who do not have employment goals should be referred to the Social Security Administration to get information about their ability to become employed while receiving benefits. Potentially </w:t>
      </w:r>
      <w:proofErr w:type="gramStart"/>
      <w:r w:rsidR="007012FC" w:rsidRPr="007012FC">
        <w:rPr>
          <w:rFonts w:ascii="Corbel" w:hAnsi="Corbel" w:cs="Arial"/>
          <w:sz w:val="26"/>
          <w:szCs w:val="26"/>
          <w:u w:val="none"/>
        </w:rPr>
        <w:t>both of these</w:t>
      </w:r>
      <w:proofErr w:type="gramEnd"/>
      <w:r w:rsidR="007012FC" w:rsidRPr="007012FC">
        <w:rPr>
          <w:rFonts w:ascii="Corbel" w:hAnsi="Corbel" w:cs="Arial"/>
          <w:sz w:val="26"/>
          <w:szCs w:val="26"/>
          <w:u w:val="none"/>
        </w:rPr>
        <w:t xml:space="preserve"> provisions will influence employment outcomes by empowering consumers to make informed choices about maximizing their earning potential.</w:t>
      </w:r>
    </w:p>
    <w:p w14:paraId="2698841D" w14:textId="77777777" w:rsidR="009670AB" w:rsidRDefault="009670AB" w:rsidP="00A1299F">
      <w:pPr>
        <w:pStyle w:val="ListParagraph"/>
        <w:widowControl w:val="0"/>
        <w:ind w:left="0" w:firstLine="720"/>
        <w:rPr>
          <w:rFonts w:ascii="Corbel" w:hAnsi="Corbel" w:cs="Arial"/>
          <w:sz w:val="26"/>
          <w:szCs w:val="26"/>
          <w:u w:val="none"/>
        </w:rPr>
      </w:pPr>
    </w:p>
    <w:p w14:paraId="5ECCAA16" w14:textId="639B72E6" w:rsidR="00D55A23" w:rsidRPr="00E853D0" w:rsidRDefault="007012FC" w:rsidP="00A1299F">
      <w:pPr>
        <w:pStyle w:val="ListParagraph"/>
        <w:widowControl w:val="0"/>
        <w:ind w:left="0" w:firstLine="720"/>
        <w:rPr>
          <w:rFonts w:ascii="Corbel" w:hAnsi="Corbel" w:cs="Arial"/>
          <w:sz w:val="26"/>
          <w:szCs w:val="26"/>
          <w:u w:val="none"/>
        </w:rPr>
      </w:pPr>
      <w:r w:rsidRPr="007012FC">
        <w:rPr>
          <w:rFonts w:ascii="Corbel" w:hAnsi="Corbel" w:cs="Arial"/>
          <w:sz w:val="26"/>
          <w:szCs w:val="26"/>
          <w:u w:val="none"/>
        </w:rPr>
        <w:t xml:space="preserve"> </w:t>
      </w:r>
      <w:r w:rsidR="006B717B" w:rsidRPr="00E853D0">
        <w:rPr>
          <w:rFonts w:ascii="Corbel" w:hAnsi="Corbel" w:cs="Arial"/>
          <w:sz w:val="26"/>
          <w:szCs w:val="26"/>
          <w:u w:val="none"/>
        </w:rPr>
        <w:t xml:space="preserve">Across all disabilities, </w:t>
      </w:r>
      <w:r w:rsidR="009C0AFB">
        <w:rPr>
          <w:rFonts w:ascii="Corbel" w:hAnsi="Corbel" w:cs="Arial"/>
          <w:sz w:val="26"/>
          <w:szCs w:val="26"/>
          <w:u w:val="none"/>
        </w:rPr>
        <w:t>more than</w:t>
      </w:r>
      <w:r w:rsidR="006B717B" w:rsidRPr="00E853D0">
        <w:rPr>
          <w:rFonts w:ascii="Corbel" w:hAnsi="Corbel" w:cs="Arial"/>
          <w:bCs/>
          <w:sz w:val="26"/>
          <w:szCs w:val="26"/>
          <w:u w:val="none"/>
        </w:rPr>
        <w:t xml:space="preserve"> 25% of those completing VR are </w:t>
      </w:r>
      <w:r w:rsidR="00EA5F84" w:rsidRPr="00E853D0">
        <w:rPr>
          <w:rFonts w:ascii="Corbel" w:hAnsi="Corbel" w:cs="Arial"/>
          <w:bCs/>
          <w:sz w:val="26"/>
          <w:szCs w:val="26"/>
          <w:u w:val="none"/>
        </w:rPr>
        <w:t>Supplemental Security Income (SSI)</w:t>
      </w:r>
      <w:r w:rsidR="006B717B" w:rsidRPr="00E853D0">
        <w:rPr>
          <w:rFonts w:ascii="Corbel" w:hAnsi="Corbel" w:cs="Arial"/>
          <w:bCs/>
          <w:sz w:val="26"/>
          <w:szCs w:val="26"/>
          <w:u w:val="none"/>
        </w:rPr>
        <w:t xml:space="preserve"> or </w:t>
      </w:r>
      <w:r w:rsidR="00EA5F84" w:rsidRPr="00E853D0">
        <w:rPr>
          <w:rFonts w:ascii="Corbel" w:hAnsi="Corbel" w:cs="Arial"/>
          <w:bCs/>
          <w:sz w:val="26"/>
          <w:szCs w:val="26"/>
          <w:u w:val="none"/>
        </w:rPr>
        <w:t>Disability Insurance (</w:t>
      </w:r>
      <w:r w:rsidR="002206CF" w:rsidRPr="00E853D0">
        <w:rPr>
          <w:rFonts w:ascii="Corbel" w:hAnsi="Corbel" w:cs="Arial"/>
          <w:bCs/>
          <w:sz w:val="26"/>
          <w:szCs w:val="26"/>
          <w:u w:val="none"/>
        </w:rPr>
        <w:t>SSDI</w:t>
      </w:r>
      <w:r w:rsidR="00EA5F84" w:rsidRPr="00E853D0">
        <w:rPr>
          <w:rFonts w:ascii="Corbel" w:hAnsi="Corbel" w:cs="Arial"/>
          <w:bCs/>
          <w:sz w:val="26"/>
          <w:szCs w:val="26"/>
          <w:u w:val="none"/>
        </w:rPr>
        <w:t xml:space="preserve">) </w:t>
      </w:r>
      <w:r w:rsidR="006B717B" w:rsidRPr="00E853D0">
        <w:rPr>
          <w:rFonts w:ascii="Corbel" w:hAnsi="Corbel" w:cs="Arial"/>
          <w:sz w:val="26"/>
          <w:szCs w:val="26"/>
          <w:u w:val="none"/>
        </w:rPr>
        <w:t xml:space="preserve">beneficiaries. </w:t>
      </w:r>
      <w:r w:rsidR="00AE5936" w:rsidRPr="00E853D0">
        <w:rPr>
          <w:rFonts w:ascii="Corbel" w:hAnsi="Corbel" w:cs="Arial"/>
          <w:sz w:val="26"/>
          <w:szCs w:val="26"/>
          <w:u w:val="none"/>
        </w:rPr>
        <w:t xml:space="preserve">It is estimated that </w:t>
      </w:r>
      <w:r w:rsidR="006B717B" w:rsidRPr="00E853D0">
        <w:rPr>
          <w:rFonts w:ascii="Corbel" w:hAnsi="Corbel" w:cs="Arial"/>
          <w:sz w:val="26"/>
          <w:szCs w:val="26"/>
          <w:u w:val="none"/>
        </w:rPr>
        <w:t xml:space="preserve">approximately 23% of those with some visual impairment and 56% of those legally blind </w:t>
      </w:r>
      <w:r w:rsidR="00E767B2" w:rsidRPr="00E853D0">
        <w:rPr>
          <w:rFonts w:ascii="Corbel" w:hAnsi="Corbel" w:cs="Arial"/>
          <w:sz w:val="26"/>
          <w:szCs w:val="26"/>
          <w:u w:val="none"/>
        </w:rPr>
        <w:t xml:space="preserve">are </w:t>
      </w:r>
      <w:r w:rsidR="006B717B" w:rsidRPr="00E853D0">
        <w:rPr>
          <w:rFonts w:ascii="Corbel" w:hAnsi="Corbel" w:cs="Arial"/>
          <w:sz w:val="26"/>
          <w:szCs w:val="26"/>
          <w:u w:val="none"/>
        </w:rPr>
        <w:t>S</w:t>
      </w:r>
      <w:r w:rsidR="00EA5F84" w:rsidRPr="00E853D0">
        <w:rPr>
          <w:rFonts w:ascii="Corbel" w:hAnsi="Corbel" w:cs="Arial"/>
          <w:sz w:val="26"/>
          <w:szCs w:val="26"/>
          <w:u w:val="none"/>
        </w:rPr>
        <w:t xml:space="preserve">SI or </w:t>
      </w:r>
      <w:r w:rsidR="002206CF" w:rsidRPr="00E853D0">
        <w:rPr>
          <w:rFonts w:ascii="Corbel" w:hAnsi="Corbel" w:cs="Arial"/>
          <w:sz w:val="26"/>
          <w:szCs w:val="26"/>
          <w:u w:val="none"/>
        </w:rPr>
        <w:t>SSDI</w:t>
      </w:r>
      <w:r w:rsidR="006B717B" w:rsidRPr="00E853D0">
        <w:rPr>
          <w:rFonts w:ascii="Corbel" w:hAnsi="Corbel" w:cs="Arial"/>
          <w:sz w:val="26"/>
          <w:szCs w:val="26"/>
          <w:u w:val="none"/>
        </w:rPr>
        <w:t xml:space="preserve"> beneficiaries at application for VR, and </w:t>
      </w:r>
      <w:r w:rsidR="003D5681" w:rsidRPr="00E853D0">
        <w:rPr>
          <w:rFonts w:ascii="Corbel" w:hAnsi="Corbel" w:cs="Arial"/>
          <w:sz w:val="26"/>
          <w:szCs w:val="26"/>
          <w:u w:val="none"/>
        </w:rPr>
        <w:t xml:space="preserve">about </w:t>
      </w:r>
      <w:r w:rsidR="006B717B" w:rsidRPr="00E853D0">
        <w:rPr>
          <w:rFonts w:ascii="Corbel" w:hAnsi="Corbel" w:cs="Arial"/>
          <w:sz w:val="26"/>
          <w:szCs w:val="26"/>
          <w:u w:val="none"/>
        </w:rPr>
        <w:t xml:space="preserve">34% of those legally blind </w:t>
      </w:r>
      <w:r w:rsidR="00E767B2" w:rsidRPr="00E853D0">
        <w:rPr>
          <w:rFonts w:ascii="Corbel" w:hAnsi="Corbel" w:cs="Arial"/>
          <w:sz w:val="26"/>
          <w:szCs w:val="26"/>
          <w:u w:val="none"/>
        </w:rPr>
        <w:t xml:space="preserve">are </w:t>
      </w:r>
      <w:r w:rsidR="002206CF" w:rsidRPr="00E853D0">
        <w:rPr>
          <w:rFonts w:ascii="Corbel" w:hAnsi="Corbel" w:cs="Arial"/>
          <w:sz w:val="26"/>
          <w:szCs w:val="26"/>
          <w:u w:val="none"/>
        </w:rPr>
        <w:t>SSDI</w:t>
      </w:r>
      <w:r w:rsidR="006B717B" w:rsidRPr="00E853D0">
        <w:rPr>
          <w:rFonts w:ascii="Corbel" w:hAnsi="Corbel" w:cs="Arial"/>
          <w:sz w:val="26"/>
          <w:szCs w:val="26"/>
          <w:u w:val="none"/>
        </w:rPr>
        <w:t xml:space="preserve"> beneficiaries.</w:t>
      </w:r>
      <w:r w:rsidR="003D5681" w:rsidRPr="00E853D0">
        <w:rPr>
          <w:rFonts w:ascii="Corbel" w:hAnsi="Corbel" w:cs="Arial"/>
          <w:sz w:val="26"/>
          <w:szCs w:val="26"/>
          <w:u w:val="none"/>
        </w:rPr>
        <w:t xml:space="preserve"> </w:t>
      </w:r>
      <w:r w:rsidR="006B717B" w:rsidRPr="00E853D0">
        <w:rPr>
          <w:rFonts w:ascii="Corbel" w:hAnsi="Corbel" w:cs="Arial"/>
          <w:sz w:val="26"/>
          <w:szCs w:val="26"/>
          <w:u w:val="none"/>
        </w:rPr>
        <w:t xml:space="preserve">Thus, about one third—a significant fraction—of the VR consumers who are legally blind are </w:t>
      </w:r>
      <w:r w:rsidR="002206CF" w:rsidRPr="00E853D0">
        <w:rPr>
          <w:rFonts w:ascii="Corbel" w:hAnsi="Corbel" w:cs="Arial"/>
          <w:sz w:val="26"/>
          <w:szCs w:val="26"/>
          <w:u w:val="none"/>
        </w:rPr>
        <w:t>SSDI</w:t>
      </w:r>
      <w:r w:rsidR="006B717B" w:rsidRPr="00E853D0">
        <w:rPr>
          <w:rFonts w:ascii="Corbel" w:hAnsi="Corbel" w:cs="Arial"/>
          <w:sz w:val="26"/>
          <w:szCs w:val="26"/>
          <w:u w:val="none"/>
        </w:rPr>
        <w:t xml:space="preserve"> recipients. </w:t>
      </w:r>
      <w:r w:rsidR="00D55A23" w:rsidRPr="00E853D0">
        <w:rPr>
          <w:rFonts w:ascii="Corbel" w:hAnsi="Corbel" w:cs="Arial"/>
          <w:sz w:val="26"/>
          <w:szCs w:val="26"/>
          <w:u w:val="none"/>
        </w:rPr>
        <w:t>It is important to seek ways to improve employment outcomes for this unique consumer group</w:t>
      </w:r>
      <w:r w:rsidR="00D55A23" w:rsidRPr="00E853D0">
        <w:rPr>
          <w:rFonts w:ascii="Corbel" w:hAnsi="Corbel" w:cs="Arial"/>
          <w:i/>
          <w:sz w:val="26"/>
          <w:szCs w:val="26"/>
          <w:u w:val="none"/>
        </w:rPr>
        <w:t xml:space="preserve">. </w:t>
      </w:r>
      <w:r w:rsidR="00D87640" w:rsidRPr="00E853D0">
        <w:rPr>
          <w:rFonts w:ascii="Corbel" w:hAnsi="Corbel" w:cs="Arial"/>
          <w:sz w:val="26"/>
          <w:szCs w:val="26"/>
          <w:u w:val="none"/>
        </w:rPr>
        <w:t>A</w:t>
      </w:r>
      <w:r w:rsidR="00D55A23" w:rsidRPr="00E853D0">
        <w:rPr>
          <w:rFonts w:ascii="Corbel" w:hAnsi="Corbel" w:cs="Arial"/>
          <w:sz w:val="26"/>
          <w:szCs w:val="26"/>
          <w:u w:val="none"/>
        </w:rPr>
        <w:t xml:space="preserve">chieving return to work, competitive employment, and income quality for </w:t>
      </w:r>
      <w:r w:rsidR="002206CF" w:rsidRPr="00E853D0">
        <w:rPr>
          <w:rFonts w:ascii="Corbel" w:hAnsi="Corbel" w:cs="Arial"/>
          <w:sz w:val="26"/>
          <w:szCs w:val="26"/>
          <w:u w:val="none"/>
        </w:rPr>
        <w:t>SSDI</w:t>
      </w:r>
      <w:r w:rsidR="00D55A23" w:rsidRPr="00E853D0">
        <w:rPr>
          <w:rFonts w:ascii="Corbel" w:hAnsi="Corbel" w:cs="Arial"/>
          <w:sz w:val="26"/>
          <w:szCs w:val="26"/>
          <w:u w:val="none"/>
        </w:rPr>
        <w:t xml:space="preserve"> bene</w:t>
      </w:r>
      <w:r w:rsidR="00763803" w:rsidRPr="00E853D0">
        <w:rPr>
          <w:rFonts w:ascii="Corbel" w:hAnsi="Corbel" w:cs="Arial"/>
          <w:sz w:val="26"/>
          <w:szCs w:val="26"/>
          <w:u w:val="none"/>
        </w:rPr>
        <w:t xml:space="preserve">ficiaries </w:t>
      </w:r>
      <w:r w:rsidR="00D55A23" w:rsidRPr="00E853D0">
        <w:rPr>
          <w:rFonts w:ascii="Corbel" w:hAnsi="Corbel" w:cs="Arial"/>
          <w:sz w:val="26"/>
          <w:szCs w:val="26"/>
          <w:u w:val="none"/>
        </w:rPr>
        <w:t xml:space="preserve">exiting VR </w:t>
      </w:r>
      <w:r w:rsidR="00991B58" w:rsidRPr="00E853D0">
        <w:rPr>
          <w:rFonts w:ascii="Corbel" w:hAnsi="Corbel" w:cs="Arial"/>
          <w:sz w:val="26"/>
          <w:szCs w:val="26"/>
          <w:u w:val="none"/>
        </w:rPr>
        <w:t xml:space="preserve">is important for </w:t>
      </w:r>
      <w:r w:rsidR="00D55A23" w:rsidRPr="00E853D0">
        <w:rPr>
          <w:rFonts w:ascii="Corbel" w:hAnsi="Corbel" w:cs="Arial"/>
          <w:sz w:val="26"/>
          <w:szCs w:val="26"/>
          <w:u w:val="none"/>
        </w:rPr>
        <w:t>the lives of these individuals</w:t>
      </w:r>
      <w:r w:rsidR="00763803" w:rsidRPr="00E853D0">
        <w:rPr>
          <w:rFonts w:ascii="Corbel" w:hAnsi="Corbel" w:cs="Arial"/>
          <w:sz w:val="26"/>
          <w:szCs w:val="26"/>
          <w:u w:val="none"/>
        </w:rPr>
        <w:t xml:space="preserve">. Further, achieving substantial earnings, such as levels exceeding SGA, may lead to </w:t>
      </w:r>
      <w:r w:rsidR="00991B58" w:rsidRPr="00E853D0">
        <w:rPr>
          <w:rFonts w:ascii="Corbel" w:hAnsi="Corbel" w:cs="Arial"/>
          <w:sz w:val="26"/>
          <w:szCs w:val="26"/>
          <w:u w:val="none"/>
        </w:rPr>
        <w:t xml:space="preserve">financial independence and </w:t>
      </w:r>
      <w:r w:rsidR="00763803" w:rsidRPr="00E853D0">
        <w:rPr>
          <w:rFonts w:ascii="Corbel" w:hAnsi="Corbel" w:cs="Arial"/>
          <w:sz w:val="26"/>
          <w:szCs w:val="26"/>
          <w:u w:val="none"/>
        </w:rPr>
        <w:t xml:space="preserve">suspension or termination of </w:t>
      </w:r>
      <w:r w:rsidR="002206CF" w:rsidRPr="00E853D0">
        <w:rPr>
          <w:rFonts w:ascii="Corbel" w:hAnsi="Corbel" w:cs="Arial"/>
          <w:sz w:val="26"/>
          <w:szCs w:val="26"/>
          <w:u w:val="none"/>
        </w:rPr>
        <w:t>SSDI</w:t>
      </w:r>
      <w:r w:rsidR="00763803" w:rsidRPr="00E853D0">
        <w:rPr>
          <w:rFonts w:ascii="Corbel" w:hAnsi="Corbel" w:cs="Arial"/>
          <w:sz w:val="26"/>
          <w:szCs w:val="26"/>
          <w:u w:val="none"/>
        </w:rPr>
        <w:t xml:space="preserve"> benefits, which </w:t>
      </w:r>
      <w:r w:rsidR="008C5096" w:rsidRPr="00E853D0">
        <w:rPr>
          <w:rFonts w:ascii="Corbel" w:hAnsi="Corbel" w:cs="Arial"/>
          <w:sz w:val="26"/>
          <w:szCs w:val="26"/>
          <w:u w:val="none"/>
        </w:rPr>
        <w:t xml:space="preserve">also </w:t>
      </w:r>
      <w:r w:rsidR="00763803" w:rsidRPr="00E853D0">
        <w:rPr>
          <w:rFonts w:ascii="Corbel" w:hAnsi="Corbel" w:cs="Arial"/>
          <w:sz w:val="26"/>
          <w:szCs w:val="26"/>
          <w:u w:val="none"/>
        </w:rPr>
        <w:t xml:space="preserve">may provide some relief to the </w:t>
      </w:r>
      <w:r w:rsidR="00E767B2" w:rsidRPr="00E853D0">
        <w:rPr>
          <w:rFonts w:ascii="Corbel" w:hAnsi="Corbel" w:cs="Arial"/>
          <w:sz w:val="26"/>
          <w:szCs w:val="26"/>
          <w:u w:val="none"/>
        </w:rPr>
        <w:t xml:space="preserve">severely </w:t>
      </w:r>
      <w:r w:rsidR="00D55A23" w:rsidRPr="00E853D0">
        <w:rPr>
          <w:rFonts w:ascii="Corbel" w:hAnsi="Corbel" w:cs="Arial"/>
          <w:sz w:val="26"/>
          <w:szCs w:val="26"/>
          <w:u w:val="none"/>
        </w:rPr>
        <w:t>fin</w:t>
      </w:r>
      <w:r w:rsidR="002206CF" w:rsidRPr="00E853D0">
        <w:rPr>
          <w:rFonts w:ascii="Corbel" w:hAnsi="Corbel" w:cs="Arial"/>
          <w:sz w:val="26"/>
          <w:szCs w:val="26"/>
          <w:u w:val="none"/>
        </w:rPr>
        <w:t>an</w:t>
      </w:r>
      <w:r w:rsidR="00D55A23" w:rsidRPr="00E853D0">
        <w:rPr>
          <w:rFonts w:ascii="Corbel" w:hAnsi="Corbel" w:cs="Arial"/>
          <w:sz w:val="26"/>
          <w:szCs w:val="26"/>
          <w:u w:val="none"/>
        </w:rPr>
        <w:t>c</w:t>
      </w:r>
      <w:r w:rsidR="002206CF" w:rsidRPr="00E853D0">
        <w:rPr>
          <w:rFonts w:ascii="Corbel" w:hAnsi="Corbel" w:cs="Arial"/>
          <w:sz w:val="26"/>
          <w:szCs w:val="26"/>
          <w:u w:val="none"/>
        </w:rPr>
        <w:t>i</w:t>
      </w:r>
      <w:r w:rsidR="00D55A23" w:rsidRPr="00E853D0">
        <w:rPr>
          <w:rFonts w:ascii="Corbel" w:hAnsi="Corbel" w:cs="Arial"/>
          <w:sz w:val="26"/>
          <w:szCs w:val="26"/>
          <w:u w:val="none"/>
        </w:rPr>
        <w:t>ally strapped S</w:t>
      </w:r>
      <w:r w:rsidR="00763803" w:rsidRPr="00E853D0">
        <w:rPr>
          <w:rFonts w:ascii="Corbel" w:hAnsi="Corbel" w:cs="Arial"/>
          <w:sz w:val="26"/>
          <w:szCs w:val="26"/>
          <w:u w:val="none"/>
        </w:rPr>
        <w:t xml:space="preserve">ocial </w:t>
      </w:r>
      <w:r w:rsidR="00D55A23" w:rsidRPr="00E853D0">
        <w:rPr>
          <w:rFonts w:ascii="Corbel" w:hAnsi="Corbel" w:cs="Arial"/>
          <w:sz w:val="26"/>
          <w:szCs w:val="26"/>
          <w:u w:val="none"/>
        </w:rPr>
        <w:t>S</w:t>
      </w:r>
      <w:r w:rsidR="00763803" w:rsidRPr="00E853D0">
        <w:rPr>
          <w:rFonts w:ascii="Corbel" w:hAnsi="Corbel" w:cs="Arial"/>
          <w:sz w:val="26"/>
          <w:szCs w:val="26"/>
          <w:u w:val="none"/>
        </w:rPr>
        <w:t xml:space="preserve">ecurity </w:t>
      </w:r>
      <w:r w:rsidR="00D55A23" w:rsidRPr="00E853D0">
        <w:rPr>
          <w:rFonts w:ascii="Corbel" w:hAnsi="Corbel" w:cs="Arial"/>
          <w:sz w:val="26"/>
          <w:szCs w:val="26"/>
          <w:u w:val="none"/>
        </w:rPr>
        <w:t>A</w:t>
      </w:r>
      <w:r w:rsidR="00763803" w:rsidRPr="00E853D0">
        <w:rPr>
          <w:rFonts w:ascii="Corbel" w:hAnsi="Corbel" w:cs="Arial"/>
          <w:sz w:val="26"/>
          <w:szCs w:val="26"/>
          <w:u w:val="none"/>
        </w:rPr>
        <w:t>dministration</w:t>
      </w:r>
      <w:r w:rsidR="00D55A23" w:rsidRPr="00E853D0">
        <w:rPr>
          <w:rFonts w:ascii="Corbel" w:hAnsi="Corbel" w:cs="Arial"/>
          <w:sz w:val="26"/>
          <w:szCs w:val="26"/>
          <w:u w:val="none"/>
        </w:rPr>
        <w:t>.</w:t>
      </w:r>
      <w:r w:rsidR="00763803" w:rsidRPr="00E853D0">
        <w:rPr>
          <w:rFonts w:ascii="Corbel" w:hAnsi="Corbel" w:cs="Arial"/>
          <w:sz w:val="26"/>
          <w:szCs w:val="26"/>
          <w:u w:val="none"/>
        </w:rPr>
        <w:t xml:space="preserve"> </w:t>
      </w:r>
    </w:p>
    <w:p w14:paraId="6CA5EF52" w14:textId="77777777" w:rsidR="002B7A74" w:rsidRPr="00E853D0" w:rsidRDefault="002B7A74" w:rsidP="00A1299F">
      <w:pPr>
        <w:pStyle w:val="ListParagraph"/>
        <w:widowControl w:val="0"/>
        <w:ind w:left="0" w:firstLine="720"/>
        <w:rPr>
          <w:rFonts w:ascii="Corbel" w:hAnsi="Corbel" w:cs="Arial"/>
          <w:sz w:val="26"/>
          <w:szCs w:val="26"/>
          <w:u w:val="none"/>
        </w:rPr>
      </w:pPr>
    </w:p>
    <w:p w14:paraId="6CED3EC7" w14:textId="77777777" w:rsidR="00FB4F59" w:rsidRPr="00E853D0" w:rsidRDefault="00FB4F59" w:rsidP="00A1299F">
      <w:pPr>
        <w:pStyle w:val="ListParagraph"/>
        <w:widowControl w:val="0"/>
        <w:ind w:left="0" w:firstLine="720"/>
        <w:rPr>
          <w:rFonts w:ascii="Corbel" w:hAnsi="Corbel" w:cs="Arial"/>
          <w:sz w:val="26"/>
          <w:szCs w:val="26"/>
          <w:u w:val="none"/>
        </w:rPr>
      </w:pPr>
      <w:r w:rsidRPr="00E853D0">
        <w:rPr>
          <w:rFonts w:ascii="Corbel" w:hAnsi="Corbel" w:cs="Arial"/>
          <w:sz w:val="26"/>
          <w:szCs w:val="26"/>
          <w:u w:val="none"/>
        </w:rPr>
        <w:t xml:space="preserve">There is virtually no empirical evidence regarding factors influencing rehabilitation outcomes specifically for </w:t>
      </w:r>
      <w:r w:rsidR="002206CF" w:rsidRPr="00E853D0">
        <w:rPr>
          <w:rFonts w:ascii="Corbel" w:hAnsi="Corbel" w:cs="Arial"/>
          <w:sz w:val="26"/>
          <w:szCs w:val="26"/>
          <w:u w:val="none"/>
        </w:rPr>
        <w:t>SSDI</w:t>
      </w:r>
      <w:r w:rsidR="00EA5F84" w:rsidRPr="00E853D0">
        <w:rPr>
          <w:rFonts w:ascii="Corbel" w:hAnsi="Corbel" w:cs="Arial"/>
          <w:sz w:val="26"/>
          <w:szCs w:val="26"/>
          <w:u w:val="none"/>
        </w:rPr>
        <w:t xml:space="preserve">-beneficiary </w:t>
      </w:r>
      <w:r w:rsidRPr="00E853D0">
        <w:rPr>
          <w:rFonts w:ascii="Corbel" w:hAnsi="Corbel" w:cs="Arial"/>
          <w:sz w:val="26"/>
          <w:szCs w:val="26"/>
          <w:u w:val="none"/>
        </w:rPr>
        <w:t>VR consumers</w:t>
      </w:r>
      <w:r w:rsidR="00EA5F84" w:rsidRPr="00E853D0">
        <w:rPr>
          <w:rFonts w:ascii="Corbel" w:hAnsi="Corbel" w:cs="Arial"/>
          <w:sz w:val="26"/>
          <w:szCs w:val="26"/>
          <w:u w:val="none"/>
        </w:rPr>
        <w:t xml:space="preserve"> who are blind or visually impaired</w:t>
      </w:r>
      <w:r w:rsidR="008F2121" w:rsidRPr="00E853D0">
        <w:rPr>
          <w:rFonts w:ascii="Corbel" w:hAnsi="Corbel" w:cs="Arial"/>
          <w:sz w:val="26"/>
          <w:szCs w:val="26"/>
          <w:u w:val="none"/>
        </w:rPr>
        <w:t xml:space="preserve"> (BVI)</w:t>
      </w:r>
      <w:r w:rsidR="00EA5F84" w:rsidRPr="00E853D0">
        <w:rPr>
          <w:rFonts w:ascii="Corbel" w:hAnsi="Corbel" w:cs="Arial"/>
          <w:sz w:val="26"/>
          <w:szCs w:val="26"/>
          <w:u w:val="none"/>
        </w:rPr>
        <w:t xml:space="preserve">. However, there is considerable empirical research addressing </w:t>
      </w:r>
      <w:r w:rsidR="008F2121" w:rsidRPr="00E853D0">
        <w:rPr>
          <w:rFonts w:ascii="Corbel" w:hAnsi="Corbel" w:cs="Arial"/>
          <w:sz w:val="26"/>
          <w:szCs w:val="26"/>
          <w:u w:val="none"/>
        </w:rPr>
        <w:t xml:space="preserve">employment outcomes for adult consumers who are BVI (see e.g., Giesen &amp; Cavenaugh, 2012). The existing </w:t>
      </w:r>
      <w:r w:rsidR="00B66173" w:rsidRPr="00E853D0">
        <w:rPr>
          <w:rFonts w:ascii="Corbel" w:hAnsi="Corbel" w:cs="Arial"/>
          <w:sz w:val="26"/>
          <w:szCs w:val="26"/>
          <w:u w:val="none"/>
        </w:rPr>
        <w:t xml:space="preserve">body of </w:t>
      </w:r>
      <w:r w:rsidR="008F2121" w:rsidRPr="00E853D0">
        <w:rPr>
          <w:rFonts w:ascii="Corbel" w:hAnsi="Corbel" w:cs="Arial"/>
          <w:sz w:val="26"/>
          <w:szCs w:val="26"/>
          <w:u w:val="none"/>
        </w:rPr>
        <w:t xml:space="preserve">research </w:t>
      </w:r>
      <w:r w:rsidR="00E767B2" w:rsidRPr="00E853D0">
        <w:rPr>
          <w:rFonts w:ascii="Corbel" w:hAnsi="Corbel" w:cs="Arial"/>
          <w:sz w:val="26"/>
          <w:szCs w:val="26"/>
          <w:u w:val="none"/>
        </w:rPr>
        <w:t xml:space="preserve">is </w:t>
      </w:r>
      <w:r w:rsidR="008F2121" w:rsidRPr="00E853D0">
        <w:rPr>
          <w:rFonts w:ascii="Corbel" w:hAnsi="Corbel" w:cs="Arial"/>
          <w:sz w:val="26"/>
          <w:szCs w:val="26"/>
          <w:u w:val="none"/>
        </w:rPr>
        <w:t xml:space="preserve">based on samples that included </w:t>
      </w:r>
      <w:r w:rsidR="00D91828" w:rsidRPr="00E853D0">
        <w:rPr>
          <w:rFonts w:ascii="Corbel" w:hAnsi="Corbel" w:cs="Arial"/>
          <w:sz w:val="26"/>
          <w:szCs w:val="26"/>
          <w:u w:val="none"/>
        </w:rPr>
        <w:t xml:space="preserve">some </w:t>
      </w:r>
      <w:r w:rsidR="008F2121" w:rsidRPr="00E853D0">
        <w:rPr>
          <w:rFonts w:ascii="Corbel" w:hAnsi="Corbel" w:cs="Arial"/>
          <w:sz w:val="26"/>
          <w:szCs w:val="26"/>
          <w:u w:val="none"/>
        </w:rPr>
        <w:t xml:space="preserve">consumers who were SSI </w:t>
      </w:r>
      <w:r w:rsidR="00B66173" w:rsidRPr="00E853D0">
        <w:rPr>
          <w:rFonts w:ascii="Corbel" w:hAnsi="Corbel" w:cs="Arial"/>
          <w:sz w:val="26"/>
          <w:szCs w:val="26"/>
          <w:u w:val="none"/>
        </w:rPr>
        <w:t xml:space="preserve">or </w:t>
      </w:r>
      <w:r w:rsidR="002206CF" w:rsidRPr="00E853D0">
        <w:rPr>
          <w:rFonts w:ascii="Corbel" w:hAnsi="Corbel" w:cs="Arial"/>
          <w:sz w:val="26"/>
          <w:szCs w:val="26"/>
          <w:u w:val="none"/>
        </w:rPr>
        <w:t>SSDI</w:t>
      </w:r>
      <w:r w:rsidR="00B66173" w:rsidRPr="00E853D0">
        <w:rPr>
          <w:rFonts w:ascii="Corbel" w:hAnsi="Corbel" w:cs="Arial"/>
          <w:sz w:val="26"/>
          <w:szCs w:val="26"/>
          <w:u w:val="none"/>
        </w:rPr>
        <w:t xml:space="preserve"> </w:t>
      </w:r>
      <w:proofErr w:type="gramStart"/>
      <w:r w:rsidR="00B66173" w:rsidRPr="00E853D0">
        <w:rPr>
          <w:rFonts w:ascii="Corbel" w:hAnsi="Corbel" w:cs="Arial"/>
          <w:sz w:val="26"/>
          <w:szCs w:val="26"/>
          <w:u w:val="none"/>
        </w:rPr>
        <w:t xml:space="preserve">beneficiaries, </w:t>
      </w:r>
      <w:r w:rsidR="008F2121" w:rsidRPr="00E853D0">
        <w:rPr>
          <w:rFonts w:ascii="Corbel" w:hAnsi="Corbel" w:cs="Arial"/>
          <w:sz w:val="26"/>
          <w:szCs w:val="26"/>
          <w:u w:val="none"/>
        </w:rPr>
        <w:t>and</w:t>
      </w:r>
      <w:proofErr w:type="gramEnd"/>
      <w:r w:rsidR="00B66173" w:rsidRPr="00E853D0">
        <w:rPr>
          <w:rFonts w:ascii="Corbel" w:hAnsi="Corbel" w:cs="Arial"/>
          <w:sz w:val="26"/>
          <w:szCs w:val="26"/>
          <w:u w:val="none"/>
        </w:rPr>
        <w:t xml:space="preserve"> </w:t>
      </w:r>
      <w:r w:rsidR="003F0300" w:rsidRPr="00E853D0">
        <w:rPr>
          <w:rFonts w:ascii="Corbel" w:hAnsi="Corbel" w:cs="Arial"/>
          <w:sz w:val="26"/>
          <w:szCs w:val="26"/>
          <w:u w:val="none"/>
        </w:rPr>
        <w:t xml:space="preserve">being a </w:t>
      </w:r>
      <w:r w:rsidR="00B66173" w:rsidRPr="00E853D0">
        <w:rPr>
          <w:rFonts w:ascii="Corbel" w:hAnsi="Corbel" w:cs="Arial"/>
          <w:sz w:val="26"/>
          <w:szCs w:val="26"/>
          <w:u w:val="none"/>
        </w:rPr>
        <w:t xml:space="preserve">beneficiary generally has had a negative influence on achieving competitive employment. </w:t>
      </w:r>
    </w:p>
    <w:p w14:paraId="648E3B45" w14:textId="77777777" w:rsidR="00A1299F" w:rsidRPr="00E853D0" w:rsidRDefault="00A1299F" w:rsidP="00A1299F">
      <w:pPr>
        <w:pStyle w:val="ListParagraph"/>
        <w:widowControl w:val="0"/>
        <w:ind w:left="0" w:firstLine="720"/>
        <w:rPr>
          <w:rFonts w:ascii="Corbel" w:hAnsi="Corbel" w:cs="Arial"/>
          <w:sz w:val="26"/>
          <w:szCs w:val="26"/>
          <w:u w:val="none"/>
        </w:rPr>
      </w:pPr>
    </w:p>
    <w:p w14:paraId="3F84C452" w14:textId="7186BAFC" w:rsidR="00B66173" w:rsidRPr="00E853D0" w:rsidRDefault="00B66173" w:rsidP="00A1299F">
      <w:pPr>
        <w:pStyle w:val="ListParagraph"/>
        <w:widowControl w:val="0"/>
        <w:ind w:left="0" w:firstLine="720"/>
        <w:rPr>
          <w:rFonts w:ascii="Corbel" w:hAnsi="Corbel" w:cs="Arial"/>
          <w:sz w:val="26"/>
          <w:szCs w:val="26"/>
          <w:u w:val="none"/>
        </w:rPr>
      </w:pPr>
      <w:r w:rsidRPr="00E853D0">
        <w:rPr>
          <w:rFonts w:ascii="Corbel" w:hAnsi="Corbel" w:cs="Arial"/>
          <w:sz w:val="26"/>
          <w:szCs w:val="26"/>
          <w:u w:val="none"/>
        </w:rPr>
        <w:t>Th</w:t>
      </w:r>
      <w:r w:rsidR="00D91828" w:rsidRPr="00E853D0">
        <w:rPr>
          <w:rFonts w:ascii="Corbel" w:hAnsi="Corbel" w:cs="Arial"/>
          <w:sz w:val="26"/>
          <w:szCs w:val="26"/>
          <w:u w:val="none"/>
        </w:rPr>
        <w:t xml:space="preserve">e three studies in this </w:t>
      </w:r>
      <w:r w:rsidRPr="00E853D0">
        <w:rPr>
          <w:rFonts w:ascii="Corbel" w:hAnsi="Corbel" w:cs="Arial"/>
          <w:sz w:val="26"/>
          <w:szCs w:val="26"/>
          <w:u w:val="none"/>
        </w:rPr>
        <w:t>research investigation</w:t>
      </w:r>
      <w:r w:rsidR="003D5681" w:rsidRPr="00E853D0">
        <w:rPr>
          <w:rFonts w:ascii="Corbel" w:hAnsi="Corbel" w:cs="Arial"/>
          <w:sz w:val="26"/>
          <w:szCs w:val="26"/>
          <w:u w:val="none"/>
        </w:rPr>
        <w:t xml:space="preserve"> are</w:t>
      </w:r>
      <w:r w:rsidR="00991B58" w:rsidRPr="00E853D0">
        <w:rPr>
          <w:rFonts w:ascii="Corbel" w:hAnsi="Corbel" w:cs="Arial"/>
          <w:sz w:val="26"/>
          <w:szCs w:val="26"/>
          <w:u w:val="none"/>
        </w:rPr>
        <w:t xml:space="preserve"> based on analyses of </w:t>
      </w:r>
      <w:r w:rsidR="00E850D8" w:rsidRPr="00E853D0">
        <w:rPr>
          <w:rFonts w:ascii="Corbel" w:hAnsi="Corbel" w:cs="Arial"/>
          <w:sz w:val="26"/>
          <w:szCs w:val="26"/>
          <w:u w:val="none"/>
        </w:rPr>
        <w:t xml:space="preserve">FY 2011 </w:t>
      </w:r>
      <w:r w:rsidR="00991B58" w:rsidRPr="00E853D0">
        <w:rPr>
          <w:rFonts w:ascii="Corbel" w:hAnsi="Corbel" w:cs="Arial"/>
          <w:sz w:val="26"/>
          <w:szCs w:val="26"/>
          <w:u w:val="none"/>
        </w:rPr>
        <w:t xml:space="preserve">RSA-911 </w:t>
      </w:r>
      <w:r w:rsidR="00CD735C" w:rsidRPr="00E853D0">
        <w:rPr>
          <w:rFonts w:ascii="Corbel" w:hAnsi="Corbel" w:cs="Arial"/>
          <w:sz w:val="26"/>
          <w:szCs w:val="26"/>
          <w:u w:val="none"/>
        </w:rPr>
        <w:t xml:space="preserve">national </w:t>
      </w:r>
      <w:r w:rsidR="00991B58" w:rsidRPr="00E853D0">
        <w:rPr>
          <w:rFonts w:ascii="Corbel" w:hAnsi="Corbel" w:cs="Arial"/>
          <w:sz w:val="26"/>
          <w:szCs w:val="26"/>
          <w:u w:val="none"/>
        </w:rPr>
        <w:t>data</w:t>
      </w:r>
      <w:r w:rsidR="00CD735C" w:rsidRPr="00E853D0">
        <w:rPr>
          <w:rFonts w:ascii="Corbel" w:hAnsi="Corbel" w:cs="Arial"/>
          <w:sz w:val="26"/>
          <w:szCs w:val="26"/>
          <w:u w:val="none"/>
        </w:rPr>
        <w:t xml:space="preserve">. Study results give us more knowledge and specific information </w:t>
      </w:r>
      <w:r w:rsidR="00CD735C" w:rsidRPr="00E853D0">
        <w:rPr>
          <w:rFonts w:ascii="Corbel" w:hAnsi="Corbel" w:cs="Arial"/>
          <w:sz w:val="26"/>
          <w:szCs w:val="26"/>
          <w:u w:val="none"/>
        </w:rPr>
        <w:lastRenderedPageBreak/>
        <w:t>than ever before about what factors influence the achievement of</w:t>
      </w:r>
      <w:r w:rsidR="0017589B">
        <w:rPr>
          <w:rFonts w:ascii="Corbel" w:hAnsi="Corbel" w:cs="Arial"/>
          <w:sz w:val="26"/>
          <w:szCs w:val="26"/>
          <w:u w:val="none"/>
        </w:rPr>
        <w:t xml:space="preserve"> competitive employment </w:t>
      </w:r>
      <w:r w:rsidR="00CD735C" w:rsidRPr="00E853D0">
        <w:rPr>
          <w:rFonts w:ascii="Corbel" w:hAnsi="Corbel" w:cs="Arial"/>
          <w:sz w:val="26"/>
          <w:szCs w:val="26"/>
          <w:u w:val="none"/>
        </w:rPr>
        <w:t xml:space="preserve">for consumers who are also SSDI beneficiaries at application. </w:t>
      </w:r>
      <w:r w:rsidR="0037361B" w:rsidRPr="00E853D0">
        <w:rPr>
          <w:rFonts w:ascii="Corbel" w:hAnsi="Corbel" w:cs="Arial"/>
          <w:sz w:val="26"/>
          <w:szCs w:val="26"/>
          <w:u w:val="none"/>
        </w:rPr>
        <w:t xml:space="preserve">We </w:t>
      </w:r>
      <w:r w:rsidR="002B1AC7" w:rsidRPr="00E853D0">
        <w:rPr>
          <w:rFonts w:ascii="Corbel" w:hAnsi="Corbel" w:cs="Arial"/>
          <w:sz w:val="26"/>
          <w:szCs w:val="26"/>
          <w:u w:val="none"/>
        </w:rPr>
        <w:t xml:space="preserve">examined a wide range of factors, </w:t>
      </w:r>
      <w:r w:rsidR="0017589B">
        <w:rPr>
          <w:rFonts w:ascii="Corbel" w:hAnsi="Corbel" w:cs="Arial"/>
          <w:sz w:val="26"/>
          <w:szCs w:val="26"/>
          <w:u w:val="none"/>
        </w:rPr>
        <w:t>from</w:t>
      </w:r>
      <w:r w:rsidR="002B1AC7" w:rsidRPr="00E853D0">
        <w:rPr>
          <w:rFonts w:ascii="Corbel" w:hAnsi="Corbel" w:cs="Arial"/>
          <w:sz w:val="26"/>
          <w:szCs w:val="26"/>
          <w:u w:val="none"/>
        </w:rPr>
        <w:t xml:space="preserve"> individual </w:t>
      </w:r>
      <w:r w:rsidR="0017589B">
        <w:rPr>
          <w:rFonts w:ascii="Corbel" w:hAnsi="Corbel" w:cs="Arial"/>
          <w:sz w:val="26"/>
          <w:szCs w:val="26"/>
          <w:u w:val="none"/>
        </w:rPr>
        <w:t xml:space="preserve">characteristics such as </w:t>
      </w:r>
      <w:r w:rsidR="002B1AC7" w:rsidRPr="00E853D0">
        <w:rPr>
          <w:rFonts w:ascii="Corbel" w:hAnsi="Corbel" w:cs="Arial"/>
          <w:sz w:val="26"/>
          <w:szCs w:val="26"/>
          <w:u w:val="none"/>
        </w:rPr>
        <w:t xml:space="preserve">demographic, disability, socioeconomic, work history, </w:t>
      </w:r>
      <w:r w:rsidR="0017589B">
        <w:rPr>
          <w:rFonts w:ascii="Corbel" w:hAnsi="Corbel" w:cs="Arial"/>
          <w:sz w:val="26"/>
          <w:szCs w:val="26"/>
          <w:u w:val="none"/>
        </w:rPr>
        <w:t xml:space="preserve">and </w:t>
      </w:r>
      <w:r w:rsidR="002B1AC7" w:rsidRPr="00E853D0">
        <w:rPr>
          <w:rFonts w:ascii="Corbel" w:hAnsi="Corbel" w:cs="Arial"/>
          <w:sz w:val="26"/>
          <w:szCs w:val="26"/>
          <w:u w:val="none"/>
        </w:rPr>
        <w:t xml:space="preserve">a complete list of VR services, </w:t>
      </w:r>
      <w:r w:rsidR="0017589B">
        <w:rPr>
          <w:rFonts w:ascii="Corbel" w:hAnsi="Corbel" w:cs="Arial"/>
          <w:sz w:val="26"/>
          <w:szCs w:val="26"/>
          <w:u w:val="none"/>
        </w:rPr>
        <w:t>to</w:t>
      </w:r>
      <w:r w:rsidR="002B1AC7" w:rsidRPr="00E853D0">
        <w:rPr>
          <w:rFonts w:ascii="Corbel" w:hAnsi="Corbel" w:cs="Arial"/>
          <w:sz w:val="26"/>
          <w:szCs w:val="26"/>
          <w:u w:val="none"/>
        </w:rPr>
        <w:t xml:space="preserve"> state-level factors </w:t>
      </w:r>
      <w:r w:rsidR="0017589B">
        <w:rPr>
          <w:rFonts w:ascii="Corbel" w:hAnsi="Corbel" w:cs="Arial"/>
          <w:sz w:val="26"/>
          <w:szCs w:val="26"/>
          <w:u w:val="none"/>
        </w:rPr>
        <w:t>such as state unemployment rate</w:t>
      </w:r>
      <w:r w:rsidR="002B1AC7" w:rsidRPr="00E853D0">
        <w:rPr>
          <w:rFonts w:ascii="Corbel" w:hAnsi="Corbel" w:cs="Arial"/>
          <w:sz w:val="26"/>
          <w:szCs w:val="26"/>
          <w:u w:val="none"/>
        </w:rPr>
        <w:t xml:space="preserve"> and VR agency structure type</w:t>
      </w:r>
      <w:r w:rsidR="0037361B" w:rsidRPr="00E853D0">
        <w:rPr>
          <w:rFonts w:ascii="Corbel" w:hAnsi="Corbel" w:cs="Arial"/>
          <w:sz w:val="26"/>
          <w:szCs w:val="26"/>
          <w:u w:val="none"/>
        </w:rPr>
        <w:t xml:space="preserve">. Such state-level factors capture influences on outcomes from the </w:t>
      </w:r>
      <w:r w:rsidR="002B1AC7" w:rsidRPr="00E853D0">
        <w:rPr>
          <w:rFonts w:ascii="Corbel" w:hAnsi="Corbel" w:cs="Arial"/>
          <w:sz w:val="26"/>
          <w:szCs w:val="26"/>
          <w:u w:val="none"/>
        </w:rPr>
        <w:t xml:space="preserve">context in which the VR process takes place. </w:t>
      </w:r>
      <w:r w:rsidR="0037361B" w:rsidRPr="00E853D0">
        <w:rPr>
          <w:rFonts w:ascii="Corbel" w:hAnsi="Corbel" w:cs="Arial"/>
          <w:sz w:val="26"/>
          <w:szCs w:val="26"/>
          <w:u w:val="none"/>
        </w:rPr>
        <w:t>Also, t</w:t>
      </w:r>
      <w:r w:rsidR="002B1AC7" w:rsidRPr="00E853D0">
        <w:rPr>
          <w:rFonts w:ascii="Corbel" w:hAnsi="Corbel" w:cs="Arial"/>
          <w:sz w:val="26"/>
          <w:szCs w:val="26"/>
          <w:u w:val="none"/>
        </w:rPr>
        <w:t>he third study</w:t>
      </w:r>
      <w:r w:rsidR="005B0778" w:rsidRPr="00E853D0">
        <w:rPr>
          <w:rFonts w:ascii="Corbel" w:hAnsi="Corbel" w:cs="Arial"/>
          <w:sz w:val="26"/>
          <w:szCs w:val="26"/>
          <w:u w:val="none"/>
        </w:rPr>
        <w:t xml:space="preserve"> </w:t>
      </w:r>
      <w:r w:rsidR="0037361B" w:rsidRPr="00E853D0">
        <w:rPr>
          <w:rFonts w:ascii="Corbel" w:hAnsi="Corbel" w:cs="Arial"/>
          <w:sz w:val="26"/>
          <w:szCs w:val="26"/>
          <w:u w:val="none"/>
        </w:rPr>
        <w:t xml:space="preserve">goes beyond competitive employment to look at factors influencing achievement of </w:t>
      </w:r>
      <w:r w:rsidR="002C512D" w:rsidRPr="00E853D0">
        <w:rPr>
          <w:rFonts w:ascii="Corbel" w:hAnsi="Corbel" w:cs="Arial"/>
          <w:sz w:val="26"/>
          <w:szCs w:val="26"/>
          <w:u w:val="none"/>
        </w:rPr>
        <w:t xml:space="preserve">high </w:t>
      </w:r>
      <w:r w:rsidR="006765A3" w:rsidRPr="00E853D0">
        <w:rPr>
          <w:rFonts w:ascii="Corbel" w:hAnsi="Corbel" w:cs="Arial"/>
          <w:sz w:val="26"/>
          <w:szCs w:val="26"/>
          <w:u w:val="none"/>
        </w:rPr>
        <w:t xml:space="preserve">closure </w:t>
      </w:r>
      <w:r w:rsidR="00552B3F" w:rsidRPr="00E853D0">
        <w:rPr>
          <w:rFonts w:ascii="Corbel" w:hAnsi="Corbel" w:cs="Arial"/>
          <w:sz w:val="26"/>
          <w:szCs w:val="26"/>
          <w:u w:val="none"/>
        </w:rPr>
        <w:t>earnings</w:t>
      </w:r>
      <w:r w:rsidR="006765A3" w:rsidRPr="00E853D0">
        <w:rPr>
          <w:rFonts w:ascii="Corbel" w:hAnsi="Corbel" w:cs="Arial"/>
          <w:sz w:val="26"/>
          <w:szCs w:val="26"/>
          <w:u w:val="none"/>
        </w:rPr>
        <w:t xml:space="preserve"> </w:t>
      </w:r>
      <w:r w:rsidR="00991B58" w:rsidRPr="00E853D0">
        <w:rPr>
          <w:rFonts w:ascii="Corbel" w:hAnsi="Corbel" w:cs="Arial"/>
          <w:sz w:val="26"/>
          <w:szCs w:val="26"/>
          <w:u w:val="none"/>
        </w:rPr>
        <w:t xml:space="preserve">(above SGA) </w:t>
      </w:r>
      <w:r w:rsidR="006765A3" w:rsidRPr="00E853D0">
        <w:rPr>
          <w:rFonts w:ascii="Corbel" w:hAnsi="Corbel" w:cs="Arial"/>
          <w:sz w:val="26"/>
          <w:szCs w:val="26"/>
          <w:u w:val="none"/>
        </w:rPr>
        <w:t xml:space="preserve">for consumers who </w:t>
      </w:r>
      <w:r w:rsidR="00E767B2" w:rsidRPr="00E853D0">
        <w:rPr>
          <w:rFonts w:ascii="Corbel" w:hAnsi="Corbel" w:cs="Arial"/>
          <w:sz w:val="26"/>
          <w:szCs w:val="26"/>
          <w:u w:val="none"/>
        </w:rPr>
        <w:t xml:space="preserve">are </w:t>
      </w:r>
      <w:r w:rsidR="002206CF" w:rsidRPr="00E853D0">
        <w:rPr>
          <w:rFonts w:ascii="Corbel" w:hAnsi="Corbel" w:cs="Arial"/>
          <w:sz w:val="26"/>
          <w:szCs w:val="26"/>
          <w:u w:val="none"/>
        </w:rPr>
        <w:t>SSDI</w:t>
      </w:r>
      <w:r w:rsidR="006765A3" w:rsidRPr="00E853D0">
        <w:rPr>
          <w:rFonts w:ascii="Corbel" w:hAnsi="Corbel" w:cs="Arial"/>
          <w:sz w:val="26"/>
          <w:szCs w:val="26"/>
          <w:u w:val="none"/>
        </w:rPr>
        <w:t xml:space="preserve"> beneficiaries at application. </w:t>
      </w:r>
      <w:r w:rsidR="00BA3D37" w:rsidRPr="00E853D0">
        <w:rPr>
          <w:rFonts w:ascii="Corbel" w:hAnsi="Corbel" w:cs="Arial"/>
          <w:sz w:val="26"/>
          <w:szCs w:val="26"/>
          <w:u w:val="none"/>
        </w:rPr>
        <w:t xml:space="preserve">Findings from </w:t>
      </w:r>
      <w:r w:rsidR="003D5681" w:rsidRPr="00E853D0">
        <w:rPr>
          <w:rFonts w:ascii="Corbel" w:hAnsi="Corbel" w:cs="Arial"/>
          <w:sz w:val="26"/>
          <w:szCs w:val="26"/>
          <w:u w:val="none"/>
        </w:rPr>
        <w:t>all</w:t>
      </w:r>
      <w:r w:rsidR="0037361B" w:rsidRPr="00E853D0">
        <w:rPr>
          <w:rFonts w:ascii="Corbel" w:hAnsi="Corbel" w:cs="Arial"/>
          <w:sz w:val="26"/>
          <w:szCs w:val="26"/>
          <w:u w:val="none"/>
        </w:rPr>
        <w:t xml:space="preserve"> three </w:t>
      </w:r>
      <w:r w:rsidR="00D91828" w:rsidRPr="00E853D0">
        <w:rPr>
          <w:rFonts w:ascii="Corbel" w:hAnsi="Corbel" w:cs="Arial"/>
          <w:sz w:val="26"/>
          <w:szCs w:val="26"/>
          <w:u w:val="none"/>
        </w:rPr>
        <w:t xml:space="preserve">studies </w:t>
      </w:r>
      <w:r w:rsidR="00BA3D37" w:rsidRPr="00E853D0">
        <w:rPr>
          <w:rFonts w:ascii="Corbel" w:hAnsi="Corbel" w:cs="Arial"/>
          <w:sz w:val="26"/>
          <w:szCs w:val="26"/>
          <w:u w:val="none"/>
        </w:rPr>
        <w:t>are used</w:t>
      </w:r>
      <w:r w:rsidR="00BD5255" w:rsidRPr="00E853D0">
        <w:rPr>
          <w:rFonts w:ascii="Corbel" w:hAnsi="Corbel" w:cs="Arial"/>
          <w:sz w:val="26"/>
          <w:szCs w:val="26"/>
          <w:u w:val="none"/>
        </w:rPr>
        <w:t xml:space="preserve"> in this document </w:t>
      </w:r>
      <w:r w:rsidR="00BA3D37" w:rsidRPr="00E853D0">
        <w:rPr>
          <w:rFonts w:ascii="Corbel" w:hAnsi="Corbel" w:cs="Arial"/>
          <w:sz w:val="26"/>
          <w:szCs w:val="26"/>
          <w:u w:val="none"/>
        </w:rPr>
        <w:t xml:space="preserve">as a basis to develop recommendations for practice and agency policy relevant to working with consumers who are </w:t>
      </w:r>
      <w:r w:rsidR="002206CF" w:rsidRPr="00E853D0">
        <w:rPr>
          <w:rFonts w:ascii="Corbel" w:hAnsi="Corbel" w:cs="Arial"/>
          <w:sz w:val="26"/>
          <w:szCs w:val="26"/>
          <w:u w:val="none"/>
        </w:rPr>
        <w:t>SSDI</w:t>
      </w:r>
      <w:r w:rsidR="00BA3D37" w:rsidRPr="00E853D0">
        <w:rPr>
          <w:rFonts w:ascii="Corbel" w:hAnsi="Corbel" w:cs="Arial"/>
          <w:sz w:val="26"/>
          <w:szCs w:val="26"/>
          <w:u w:val="none"/>
        </w:rPr>
        <w:t xml:space="preserve"> beneficiaries. Inputs from VR service delivery professionals </w:t>
      </w:r>
      <w:r w:rsidR="003D5681" w:rsidRPr="00E853D0">
        <w:rPr>
          <w:rFonts w:ascii="Corbel" w:hAnsi="Corbel" w:cs="Arial"/>
          <w:sz w:val="26"/>
          <w:szCs w:val="26"/>
          <w:u w:val="none"/>
        </w:rPr>
        <w:t xml:space="preserve">also </w:t>
      </w:r>
      <w:r w:rsidR="00BA3D37" w:rsidRPr="00E853D0">
        <w:rPr>
          <w:rFonts w:ascii="Corbel" w:hAnsi="Corbel" w:cs="Arial"/>
          <w:sz w:val="26"/>
          <w:szCs w:val="26"/>
          <w:u w:val="none"/>
        </w:rPr>
        <w:t xml:space="preserve">helped shape our recommendations. </w:t>
      </w:r>
    </w:p>
    <w:p w14:paraId="636C5A19" w14:textId="77777777" w:rsidR="00A1299F" w:rsidRPr="00E853D0" w:rsidRDefault="00A1299F" w:rsidP="00A1299F">
      <w:pPr>
        <w:pStyle w:val="ListParagraph"/>
        <w:widowControl w:val="0"/>
        <w:ind w:left="0" w:firstLine="720"/>
        <w:rPr>
          <w:rFonts w:ascii="Corbel" w:hAnsi="Corbel" w:cs="Arial"/>
          <w:sz w:val="26"/>
          <w:szCs w:val="26"/>
          <w:u w:val="none"/>
        </w:rPr>
      </w:pPr>
    </w:p>
    <w:p w14:paraId="4EC968E4" w14:textId="41C15CAC" w:rsidR="00BA3D37" w:rsidRPr="00E853D0" w:rsidRDefault="0011776A" w:rsidP="00A1299F">
      <w:pPr>
        <w:pStyle w:val="ListParagraph"/>
        <w:widowControl w:val="0"/>
        <w:ind w:left="0" w:firstLine="720"/>
        <w:rPr>
          <w:rFonts w:ascii="Corbel" w:hAnsi="Corbel" w:cs="Arial"/>
          <w:sz w:val="26"/>
          <w:szCs w:val="26"/>
          <w:u w:val="none"/>
        </w:rPr>
      </w:pPr>
      <w:r w:rsidRPr="00E853D0">
        <w:rPr>
          <w:rFonts w:ascii="Corbel" w:hAnsi="Corbel" w:cs="Arial"/>
          <w:sz w:val="26"/>
          <w:szCs w:val="26"/>
          <w:u w:val="none"/>
        </w:rPr>
        <w:t xml:space="preserve">To help streamline the document, we have included the </w:t>
      </w:r>
      <w:r w:rsidR="00BA3D37" w:rsidRPr="00E853D0">
        <w:rPr>
          <w:rFonts w:ascii="Corbel" w:hAnsi="Corbel" w:cs="Arial"/>
          <w:sz w:val="26"/>
          <w:szCs w:val="26"/>
          <w:u w:val="none"/>
        </w:rPr>
        <w:t xml:space="preserve">major </w:t>
      </w:r>
      <w:r w:rsidRPr="00E853D0">
        <w:rPr>
          <w:rFonts w:ascii="Corbel" w:hAnsi="Corbel" w:cs="Arial"/>
          <w:sz w:val="26"/>
          <w:szCs w:val="26"/>
          <w:u w:val="none"/>
        </w:rPr>
        <w:t xml:space="preserve">findings for all three studies first. This is followed by </w:t>
      </w:r>
      <w:r w:rsidR="00D91828" w:rsidRPr="00E853D0">
        <w:rPr>
          <w:rFonts w:ascii="Corbel" w:hAnsi="Corbel" w:cs="Arial"/>
          <w:sz w:val="26"/>
          <w:szCs w:val="26"/>
          <w:u w:val="none"/>
        </w:rPr>
        <w:t>r</w:t>
      </w:r>
      <w:r w:rsidR="004B3BDC" w:rsidRPr="00E853D0">
        <w:rPr>
          <w:rFonts w:ascii="Corbel" w:hAnsi="Corbel" w:cs="Arial"/>
          <w:sz w:val="26"/>
          <w:szCs w:val="26"/>
          <w:u w:val="none"/>
        </w:rPr>
        <w:t>ecommendations for agencies and counselors</w:t>
      </w:r>
      <w:r w:rsidRPr="00E853D0">
        <w:rPr>
          <w:rFonts w:ascii="Corbel" w:hAnsi="Corbel" w:cs="Arial"/>
          <w:sz w:val="26"/>
          <w:szCs w:val="26"/>
          <w:u w:val="none"/>
        </w:rPr>
        <w:t xml:space="preserve"> derived from findings</w:t>
      </w:r>
      <w:r w:rsidR="00411ECA" w:rsidRPr="00E853D0">
        <w:rPr>
          <w:rFonts w:ascii="Corbel" w:hAnsi="Corbel" w:cs="Arial"/>
          <w:sz w:val="26"/>
          <w:szCs w:val="26"/>
          <w:u w:val="none"/>
        </w:rPr>
        <w:t xml:space="preserve"> of all three studies</w:t>
      </w:r>
      <w:r w:rsidR="004B3BDC" w:rsidRPr="00E853D0">
        <w:rPr>
          <w:rFonts w:ascii="Corbel" w:hAnsi="Corbel" w:cs="Arial"/>
          <w:sz w:val="26"/>
          <w:szCs w:val="26"/>
          <w:u w:val="none"/>
        </w:rPr>
        <w:t xml:space="preserve">. A final section provides information on where to find publications </w:t>
      </w:r>
      <w:r w:rsidR="00D91828" w:rsidRPr="00E853D0">
        <w:rPr>
          <w:rFonts w:ascii="Corbel" w:hAnsi="Corbel" w:cs="Arial"/>
          <w:sz w:val="26"/>
          <w:szCs w:val="26"/>
          <w:u w:val="none"/>
        </w:rPr>
        <w:t xml:space="preserve">providing </w:t>
      </w:r>
      <w:r w:rsidR="004B3BDC" w:rsidRPr="00E853D0">
        <w:rPr>
          <w:rFonts w:ascii="Corbel" w:hAnsi="Corbel" w:cs="Arial"/>
          <w:sz w:val="26"/>
          <w:szCs w:val="26"/>
          <w:u w:val="none"/>
        </w:rPr>
        <w:t xml:space="preserve">more detail regarding the research findings that support this practice guide.  </w:t>
      </w:r>
    </w:p>
    <w:p w14:paraId="0DD315C1" w14:textId="77777777" w:rsidR="00D126EB" w:rsidRPr="00D126EB" w:rsidRDefault="00D126EB" w:rsidP="00D126EB">
      <w:pPr>
        <w:ind w:left="0" w:firstLine="0"/>
        <w:jc w:val="center"/>
        <w:rPr>
          <w:rFonts w:ascii="Corbel" w:hAnsi="Corbel" w:cstheme="minorBidi"/>
          <w:b/>
          <w:color w:val="auto"/>
          <w:sz w:val="26"/>
          <w:szCs w:val="26"/>
          <w:u w:val="none"/>
        </w:rPr>
      </w:pPr>
    </w:p>
    <w:p w14:paraId="6443885C" w14:textId="77777777" w:rsidR="00D126EB" w:rsidRDefault="00D126EB" w:rsidP="00D126EB">
      <w:pPr>
        <w:ind w:left="0" w:firstLine="0"/>
        <w:jc w:val="center"/>
        <w:rPr>
          <w:rFonts w:ascii="Corbel" w:hAnsi="Corbel" w:cstheme="minorBidi"/>
          <w:b/>
          <w:color w:val="auto"/>
          <w:sz w:val="28"/>
          <w:szCs w:val="28"/>
          <w:u w:val="none"/>
        </w:rPr>
      </w:pPr>
      <w:r w:rsidRPr="00D126EB">
        <w:rPr>
          <w:rFonts w:ascii="Corbel" w:hAnsi="Corbel" w:cstheme="minorBidi"/>
          <w:b/>
          <w:color w:val="auto"/>
          <w:sz w:val="28"/>
          <w:szCs w:val="28"/>
          <w:u w:val="none"/>
        </w:rPr>
        <w:t>Key Research Findings</w:t>
      </w:r>
    </w:p>
    <w:p w14:paraId="2D442F1B" w14:textId="77777777" w:rsidR="00D126EB" w:rsidRPr="00D126EB" w:rsidRDefault="00D126EB" w:rsidP="00D126EB">
      <w:pPr>
        <w:ind w:left="0" w:firstLine="0"/>
        <w:jc w:val="center"/>
        <w:rPr>
          <w:rFonts w:ascii="Corbel" w:hAnsi="Corbel" w:cstheme="minorBidi"/>
          <w:b/>
          <w:color w:val="auto"/>
          <w:sz w:val="28"/>
          <w:szCs w:val="28"/>
          <w:u w:val="none"/>
        </w:rPr>
      </w:pPr>
    </w:p>
    <w:p w14:paraId="1A656352" w14:textId="77777777" w:rsidR="0059466F" w:rsidRPr="00796AF2" w:rsidRDefault="005F39AC" w:rsidP="003C2605">
      <w:pPr>
        <w:ind w:left="0" w:firstLine="0"/>
        <w:rPr>
          <w:rFonts w:ascii="Corbel" w:hAnsi="Corbel"/>
          <w:b/>
          <w:sz w:val="26"/>
          <w:szCs w:val="26"/>
        </w:rPr>
      </w:pPr>
      <w:r w:rsidRPr="00796AF2">
        <w:rPr>
          <w:rFonts w:ascii="Corbel" w:hAnsi="Corbel"/>
          <w:b/>
          <w:sz w:val="26"/>
          <w:szCs w:val="26"/>
        </w:rPr>
        <w:t xml:space="preserve">Study </w:t>
      </w:r>
      <w:r w:rsidR="0067664E" w:rsidRPr="00796AF2">
        <w:rPr>
          <w:rFonts w:ascii="Corbel" w:hAnsi="Corbel"/>
          <w:b/>
          <w:sz w:val="26"/>
          <w:szCs w:val="26"/>
        </w:rPr>
        <w:t xml:space="preserve">I: Demographic, Socioeconomic, and Disability Influences on Competitive Employment Closure for </w:t>
      </w:r>
      <w:r w:rsidR="002206CF" w:rsidRPr="00796AF2">
        <w:rPr>
          <w:rFonts w:ascii="Corbel" w:hAnsi="Corbel"/>
          <w:b/>
          <w:sz w:val="26"/>
          <w:szCs w:val="26"/>
        </w:rPr>
        <w:t>SSDI</w:t>
      </w:r>
      <w:r w:rsidR="0067664E" w:rsidRPr="00796AF2">
        <w:rPr>
          <w:rFonts w:ascii="Corbel" w:hAnsi="Corbel"/>
          <w:b/>
          <w:sz w:val="26"/>
          <w:szCs w:val="26"/>
        </w:rPr>
        <w:t xml:space="preserve"> Beneficiaries</w:t>
      </w:r>
    </w:p>
    <w:p w14:paraId="3E9FF0F8" w14:textId="77777777" w:rsidR="0059466F" w:rsidRPr="00E853D0" w:rsidRDefault="0059466F" w:rsidP="0059466F">
      <w:pPr>
        <w:pStyle w:val="ListParagraph"/>
        <w:rPr>
          <w:rFonts w:ascii="Corbel" w:hAnsi="Corbel"/>
          <w:b/>
          <w:sz w:val="26"/>
          <w:szCs w:val="26"/>
          <w:u w:val="none"/>
        </w:rPr>
      </w:pPr>
    </w:p>
    <w:p w14:paraId="79105801" w14:textId="77777777" w:rsidR="005A32A9" w:rsidRPr="00E853D0" w:rsidRDefault="005A32A9" w:rsidP="003C2605">
      <w:pPr>
        <w:ind w:left="0" w:firstLine="0"/>
        <w:rPr>
          <w:rFonts w:ascii="Corbel" w:hAnsi="Corbel"/>
          <w:b/>
          <w:sz w:val="26"/>
          <w:szCs w:val="26"/>
          <w:u w:val="none"/>
        </w:rPr>
      </w:pPr>
      <w:r w:rsidRPr="00E853D0">
        <w:rPr>
          <w:rFonts w:ascii="Corbel" w:hAnsi="Corbel"/>
          <w:b/>
          <w:sz w:val="26"/>
          <w:szCs w:val="26"/>
          <w:u w:val="none"/>
        </w:rPr>
        <w:t xml:space="preserve">Demographic and </w:t>
      </w:r>
      <w:r w:rsidR="00FB3A39" w:rsidRPr="00E853D0">
        <w:rPr>
          <w:rFonts w:ascii="Corbel" w:hAnsi="Corbel"/>
          <w:b/>
          <w:sz w:val="26"/>
          <w:szCs w:val="26"/>
          <w:u w:val="none"/>
        </w:rPr>
        <w:t>State-Level Influences</w:t>
      </w:r>
    </w:p>
    <w:p w14:paraId="030D11FB" w14:textId="4F575628" w:rsidR="0059466F" w:rsidRPr="00E853D0" w:rsidRDefault="0059466F" w:rsidP="00E672C6">
      <w:pPr>
        <w:pStyle w:val="ListParagraph"/>
        <w:numPr>
          <w:ilvl w:val="0"/>
          <w:numId w:val="2"/>
        </w:numPr>
        <w:ind w:left="360"/>
        <w:rPr>
          <w:rFonts w:ascii="Corbel" w:hAnsi="Corbel" w:cs="Arial"/>
          <w:sz w:val="26"/>
          <w:szCs w:val="26"/>
          <w:u w:val="none"/>
        </w:rPr>
      </w:pPr>
      <w:r w:rsidRPr="00E853D0">
        <w:rPr>
          <w:rFonts w:ascii="Corbel" w:hAnsi="Corbel" w:cs="Arial"/>
          <w:sz w:val="26"/>
          <w:szCs w:val="26"/>
          <w:u w:val="none"/>
        </w:rPr>
        <w:t xml:space="preserve">The base competitive employment rate for </w:t>
      </w:r>
      <w:r w:rsidR="002206CF" w:rsidRPr="00E853D0">
        <w:rPr>
          <w:rFonts w:ascii="Corbel" w:hAnsi="Corbel" w:cs="Arial"/>
          <w:sz w:val="26"/>
          <w:szCs w:val="26"/>
          <w:u w:val="none"/>
        </w:rPr>
        <w:t>SSDI</w:t>
      </w:r>
      <w:r w:rsidRPr="00E853D0">
        <w:rPr>
          <w:rFonts w:ascii="Corbel" w:hAnsi="Corbel" w:cs="Arial"/>
          <w:sz w:val="26"/>
          <w:szCs w:val="26"/>
          <w:u w:val="none"/>
        </w:rPr>
        <w:t xml:space="preserve"> b</w:t>
      </w:r>
      <w:r w:rsidR="00A44762" w:rsidRPr="00E853D0">
        <w:rPr>
          <w:rFonts w:ascii="Corbel" w:hAnsi="Corbel" w:cs="Arial"/>
          <w:sz w:val="26"/>
          <w:szCs w:val="26"/>
          <w:u w:val="none"/>
        </w:rPr>
        <w:t>eneficiaries was about 8% lower</w:t>
      </w:r>
      <w:r w:rsidRPr="00E853D0">
        <w:rPr>
          <w:rFonts w:ascii="Corbel" w:hAnsi="Corbel" w:cs="Arial"/>
          <w:sz w:val="26"/>
          <w:szCs w:val="26"/>
          <w:u w:val="none"/>
        </w:rPr>
        <w:t xml:space="preserve"> than the overall competitive </w:t>
      </w:r>
      <w:r w:rsidR="001A0422" w:rsidRPr="00E853D0">
        <w:rPr>
          <w:rFonts w:ascii="Corbel" w:hAnsi="Corbel" w:cs="Arial"/>
          <w:sz w:val="26"/>
          <w:szCs w:val="26"/>
          <w:u w:val="none"/>
        </w:rPr>
        <w:t xml:space="preserve">employment </w:t>
      </w:r>
      <w:r w:rsidRPr="00E853D0">
        <w:rPr>
          <w:rFonts w:ascii="Corbel" w:hAnsi="Corbel" w:cs="Arial"/>
          <w:sz w:val="26"/>
          <w:szCs w:val="26"/>
          <w:u w:val="none"/>
        </w:rPr>
        <w:t xml:space="preserve">rate of all blind or visually impaired consumers. </w:t>
      </w:r>
    </w:p>
    <w:p w14:paraId="27778827" w14:textId="77777777" w:rsidR="0067664E" w:rsidRPr="00E853D0" w:rsidRDefault="00A623B5" w:rsidP="00E672C6">
      <w:pPr>
        <w:pStyle w:val="ListParagraph"/>
        <w:numPr>
          <w:ilvl w:val="0"/>
          <w:numId w:val="2"/>
        </w:numPr>
        <w:ind w:left="360"/>
        <w:rPr>
          <w:rFonts w:ascii="Corbel" w:hAnsi="Corbel" w:cs="Arial"/>
          <w:sz w:val="26"/>
          <w:szCs w:val="26"/>
          <w:u w:val="none"/>
        </w:rPr>
      </w:pPr>
      <w:r w:rsidRPr="00E853D0">
        <w:rPr>
          <w:rFonts w:ascii="Corbel" w:hAnsi="Corbel" w:cs="Arial"/>
          <w:sz w:val="26"/>
          <w:szCs w:val="26"/>
          <w:u w:val="none"/>
        </w:rPr>
        <w:t xml:space="preserve">State unemployment rate was negatively associated with achieving competitive employment: </w:t>
      </w:r>
      <w:r w:rsidR="00353B05" w:rsidRPr="00E853D0">
        <w:rPr>
          <w:rFonts w:ascii="Corbel" w:hAnsi="Corbel" w:cs="Arial"/>
          <w:sz w:val="26"/>
          <w:szCs w:val="26"/>
          <w:u w:val="none"/>
        </w:rPr>
        <w:t xml:space="preserve">For every 1% increase in state unemployment rate, the odds of competitive employment decreased by </w:t>
      </w:r>
      <w:r w:rsidR="00E935F0" w:rsidRPr="00E853D0">
        <w:rPr>
          <w:rFonts w:ascii="Corbel" w:hAnsi="Corbel" w:cs="Arial"/>
          <w:sz w:val="26"/>
          <w:szCs w:val="26"/>
          <w:u w:val="none"/>
        </w:rPr>
        <w:t>about 10</w:t>
      </w:r>
      <w:r w:rsidR="00353B05" w:rsidRPr="00E853D0">
        <w:rPr>
          <w:rFonts w:ascii="Corbel" w:hAnsi="Corbel" w:cs="Arial"/>
          <w:sz w:val="26"/>
          <w:szCs w:val="26"/>
          <w:u w:val="none"/>
        </w:rPr>
        <w:t>%.</w:t>
      </w:r>
    </w:p>
    <w:p w14:paraId="2FAEFBF7" w14:textId="43BC4812" w:rsidR="00EE4415" w:rsidRPr="00E853D0" w:rsidRDefault="00353B05" w:rsidP="00E672C6">
      <w:pPr>
        <w:pStyle w:val="ListParagraph"/>
        <w:numPr>
          <w:ilvl w:val="0"/>
          <w:numId w:val="2"/>
        </w:numPr>
        <w:ind w:left="360"/>
        <w:rPr>
          <w:rFonts w:ascii="Corbel" w:hAnsi="Corbel" w:cs="Arial"/>
          <w:sz w:val="26"/>
          <w:szCs w:val="26"/>
          <w:u w:val="none"/>
        </w:rPr>
      </w:pPr>
      <w:r w:rsidRPr="00E853D0">
        <w:rPr>
          <w:rFonts w:ascii="Corbel" w:hAnsi="Corbel" w:cs="Arial"/>
          <w:sz w:val="26"/>
          <w:szCs w:val="26"/>
          <w:u w:val="none"/>
        </w:rPr>
        <w:t xml:space="preserve">There were gender differences </w:t>
      </w:r>
      <w:r w:rsidR="00F71EDA" w:rsidRPr="00E853D0">
        <w:rPr>
          <w:rFonts w:ascii="Corbel" w:hAnsi="Corbel" w:cs="Arial"/>
          <w:sz w:val="26"/>
          <w:szCs w:val="26"/>
          <w:u w:val="none"/>
        </w:rPr>
        <w:t xml:space="preserve">favoring males </w:t>
      </w:r>
      <w:r w:rsidRPr="00E853D0">
        <w:rPr>
          <w:rFonts w:ascii="Corbel" w:hAnsi="Corbel" w:cs="Arial"/>
          <w:sz w:val="26"/>
          <w:szCs w:val="26"/>
          <w:u w:val="none"/>
        </w:rPr>
        <w:t xml:space="preserve">in achieving competitive </w:t>
      </w:r>
      <w:proofErr w:type="gramStart"/>
      <w:r w:rsidRPr="00E853D0">
        <w:rPr>
          <w:rFonts w:ascii="Corbel" w:hAnsi="Corbel" w:cs="Arial"/>
          <w:sz w:val="26"/>
          <w:szCs w:val="26"/>
          <w:u w:val="none"/>
        </w:rPr>
        <w:t>employment</w:t>
      </w:r>
      <w:proofErr w:type="gramEnd"/>
      <w:r w:rsidRPr="00E853D0">
        <w:rPr>
          <w:rFonts w:ascii="Corbel" w:hAnsi="Corbel" w:cs="Arial"/>
          <w:sz w:val="26"/>
          <w:szCs w:val="26"/>
          <w:u w:val="none"/>
        </w:rPr>
        <w:t xml:space="preserve"> but these differences were influenced by state population and type of VR agency structure. </w:t>
      </w:r>
      <w:r w:rsidR="00F56E34" w:rsidRPr="00E853D0">
        <w:rPr>
          <w:rFonts w:ascii="Corbel" w:hAnsi="Corbel" w:cs="Arial"/>
          <w:sz w:val="26"/>
          <w:szCs w:val="26"/>
          <w:u w:val="none"/>
        </w:rPr>
        <w:t>The chance of</w:t>
      </w:r>
      <w:r w:rsidR="009B23FA" w:rsidRPr="00E853D0">
        <w:rPr>
          <w:rFonts w:ascii="Corbel" w:hAnsi="Corbel" w:cs="Arial"/>
          <w:sz w:val="26"/>
          <w:szCs w:val="26"/>
          <w:u w:val="none"/>
        </w:rPr>
        <w:t xml:space="preserve"> competitive employment increased for males but decreased for females </w:t>
      </w:r>
      <w:r w:rsidR="003C2605" w:rsidRPr="00E853D0">
        <w:rPr>
          <w:rFonts w:ascii="Corbel" w:hAnsi="Corbel" w:cs="Arial"/>
          <w:sz w:val="26"/>
          <w:szCs w:val="26"/>
          <w:u w:val="none"/>
        </w:rPr>
        <w:t xml:space="preserve">as we </w:t>
      </w:r>
      <w:r w:rsidR="00411ECA" w:rsidRPr="00E853D0">
        <w:rPr>
          <w:rFonts w:ascii="Corbel" w:hAnsi="Corbel" w:cs="Arial"/>
          <w:sz w:val="26"/>
          <w:szCs w:val="26"/>
          <w:u w:val="none"/>
        </w:rPr>
        <w:t>compare</w:t>
      </w:r>
      <w:r w:rsidR="00CD724F">
        <w:rPr>
          <w:rFonts w:ascii="Corbel" w:hAnsi="Corbel" w:cs="Arial"/>
          <w:sz w:val="26"/>
          <w:szCs w:val="26"/>
          <w:u w:val="none"/>
        </w:rPr>
        <w:t>d</w:t>
      </w:r>
      <w:r w:rsidR="00411ECA" w:rsidRPr="00E853D0">
        <w:rPr>
          <w:rFonts w:ascii="Corbel" w:hAnsi="Corbel" w:cs="Arial"/>
          <w:sz w:val="26"/>
          <w:szCs w:val="26"/>
          <w:u w:val="none"/>
        </w:rPr>
        <w:t xml:space="preserve"> </w:t>
      </w:r>
      <w:r w:rsidR="00A87260" w:rsidRPr="00E853D0">
        <w:rPr>
          <w:rFonts w:ascii="Corbel" w:hAnsi="Corbel" w:cs="Arial"/>
          <w:sz w:val="26"/>
          <w:szCs w:val="26"/>
          <w:u w:val="none"/>
        </w:rPr>
        <w:t xml:space="preserve">states with </w:t>
      </w:r>
      <w:r w:rsidR="00411ECA" w:rsidRPr="00E853D0">
        <w:rPr>
          <w:rFonts w:ascii="Corbel" w:hAnsi="Corbel" w:cs="Arial"/>
          <w:sz w:val="26"/>
          <w:szCs w:val="26"/>
          <w:u w:val="none"/>
        </w:rPr>
        <w:t>larger and l</w:t>
      </w:r>
      <w:r w:rsidR="00A87260" w:rsidRPr="00E853D0">
        <w:rPr>
          <w:rFonts w:ascii="Corbel" w:hAnsi="Corbel" w:cs="Arial"/>
          <w:sz w:val="26"/>
          <w:szCs w:val="26"/>
          <w:u w:val="none"/>
        </w:rPr>
        <w:t xml:space="preserve">arger populations. </w:t>
      </w:r>
      <w:r w:rsidR="00E935F0" w:rsidRPr="00E853D0">
        <w:rPr>
          <w:rFonts w:ascii="Corbel" w:hAnsi="Corbel" w:cs="Arial"/>
          <w:sz w:val="26"/>
          <w:szCs w:val="26"/>
          <w:u w:val="none"/>
        </w:rPr>
        <w:t xml:space="preserve">The type of VR agency structure also made a difference: Both males and females served in blind agencies tended to do better </w:t>
      </w:r>
      <w:r w:rsidR="0082729D" w:rsidRPr="00E853D0">
        <w:rPr>
          <w:rFonts w:ascii="Corbel" w:hAnsi="Corbel" w:cs="Arial"/>
          <w:sz w:val="26"/>
          <w:szCs w:val="26"/>
          <w:u w:val="none"/>
        </w:rPr>
        <w:t xml:space="preserve">at achieving competitive employment </w:t>
      </w:r>
      <w:r w:rsidR="00E935F0" w:rsidRPr="00E853D0">
        <w:rPr>
          <w:rFonts w:ascii="Corbel" w:hAnsi="Corbel" w:cs="Arial"/>
          <w:sz w:val="26"/>
          <w:szCs w:val="26"/>
          <w:u w:val="none"/>
        </w:rPr>
        <w:t>than those served in combined or general agencies.</w:t>
      </w:r>
    </w:p>
    <w:p w14:paraId="6704FB42" w14:textId="12DBDA5D" w:rsidR="00E655D5" w:rsidRPr="00E853D0" w:rsidRDefault="00FB3A39" w:rsidP="00E672C6">
      <w:pPr>
        <w:pStyle w:val="ListParagraph"/>
        <w:numPr>
          <w:ilvl w:val="0"/>
          <w:numId w:val="2"/>
        </w:numPr>
        <w:ind w:left="360"/>
        <w:rPr>
          <w:rFonts w:ascii="Corbel" w:hAnsi="Corbel" w:cs="Arial"/>
          <w:sz w:val="26"/>
          <w:szCs w:val="26"/>
          <w:u w:val="none"/>
        </w:rPr>
      </w:pPr>
      <w:r w:rsidRPr="00CD724F">
        <w:rPr>
          <w:rFonts w:ascii="Corbel" w:hAnsi="Corbel" w:cs="Arial"/>
          <w:sz w:val="26"/>
          <w:szCs w:val="26"/>
          <w:u w:val="none"/>
        </w:rPr>
        <w:lastRenderedPageBreak/>
        <w:t xml:space="preserve">Age: </w:t>
      </w:r>
      <w:r w:rsidR="00D42B0E" w:rsidRPr="00CD724F">
        <w:rPr>
          <w:rFonts w:ascii="Corbel" w:hAnsi="Corbel" w:cs="Arial"/>
          <w:sz w:val="26"/>
          <w:szCs w:val="26"/>
          <w:u w:val="none"/>
        </w:rPr>
        <w:t>There</w:t>
      </w:r>
      <w:r w:rsidR="00D42B0E" w:rsidRPr="00E853D0">
        <w:rPr>
          <w:rFonts w:ascii="Corbel" w:hAnsi="Corbel" w:cs="Arial"/>
          <w:sz w:val="26"/>
          <w:szCs w:val="26"/>
          <w:u w:val="none"/>
        </w:rPr>
        <w:t xml:space="preserve"> was a general decline in chance of achieving competitive employment as age at application increased. However, this pattern was influenced mildly by unemployment rate and more strongly by agency structure. </w:t>
      </w:r>
    </w:p>
    <w:p w14:paraId="45280C96" w14:textId="208DB2CB" w:rsidR="001A0422" w:rsidRPr="00E853D0" w:rsidRDefault="002206CF" w:rsidP="00E672C6">
      <w:pPr>
        <w:pStyle w:val="ListParagraph"/>
        <w:numPr>
          <w:ilvl w:val="1"/>
          <w:numId w:val="2"/>
        </w:numPr>
        <w:ind w:left="720"/>
        <w:rPr>
          <w:rFonts w:ascii="Corbel" w:hAnsi="Corbel" w:cs="Arial"/>
          <w:sz w:val="26"/>
          <w:szCs w:val="26"/>
          <w:u w:val="none"/>
        </w:rPr>
      </w:pPr>
      <w:r w:rsidRPr="00E853D0">
        <w:rPr>
          <w:rFonts w:ascii="Corbel" w:hAnsi="Corbel" w:cs="Arial"/>
          <w:sz w:val="26"/>
          <w:szCs w:val="26"/>
          <w:u w:val="none"/>
        </w:rPr>
        <w:t>SSDI</w:t>
      </w:r>
      <w:r w:rsidR="00D42B0E" w:rsidRPr="00E853D0">
        <w:rPr>
          <w:rFonts w:ascii="Corbel" w:hAnsi="Corbel" w:cs="Arial"/>
          <w:sz w:val="26"/>
          <w:szCs w:val="26"/>
          <w:u w:val="none"/>
        </w:rPr>
        <w:t xml:space="preserve"> recipient consumers who applied for services in their mid-thirties or older </w:t>
      </w:r>
      <w:r w:rsidR="00163718">
        <w:rPr>
          <w:rFonts w:ascii="Corbel" w:hAnsi="Corbel" w:cs="Arial"/>
          <w:sz w:val="26"/>
          <w:szCs w:val="26"/>
          <w:u w:val="none"/>
        </w:rPr>
        <w:t>were</w:t>
      </w:r>
      <w:r w:rsidR="00D42B0E" w:rsidRPr="00E853D0">
        <w:rPr>
          <w:rFonts w:ascii="Corbel" w:hAnsi="Corbel" w:cs="Arial"/>
          <w:sz w:val="26"/>
          <w:szCs w:val="26"/>
          <w:u w:val="none"/>
        </w:rPr>
        <w:t xml:space="preserve"> more likely to achieve competitive employment when served in blind agencies, and the higher likelihood seems to be maintained through older ages</w:t>
      </w:r>
      <w:r w:rsidR="0082729D" w:rsidRPr="00E853D0">
        <w:rPr>
          <w:rFonts w:ascii="Corbel" w:hAnsi="Corbel" w:cs="Arial"/>
          <w:sz w:val="26"/>
          <w:szCs w:val="26"/>
          <w:u w:val="none"/>
        </w:rPr>
        <w:t xml:space="preserve"> (into 6</w:t>
      </w:r>
      <w:r w:rsidR="0017589B">
        <w:rPr>
          <w:rFonts w:ascii="Corbel" w:hAnsi="Corbel" w:cs="Arial"/>
          <w:sz w:val="26"/>
          <w:szCs w:val="26"/>
          <w:u w:val="none"/>
        </w:rPr>
        <w:t>0</w:t>
      </w:r>
      <w:r w:rsidR="0082729D" w:rsidRPr="00E853D0">
        <w:rPr>
          <w:rFonts w:ascii="Corbel" w:hAnsi="Corbel" w:cs="Arial"/>
          <w:sz w:val="26"/>
          <w:szCs w:val="26"/>
          <w:u w:val="none"/>
        </w:rPr>
        <w:t>s)</w:t>
      </w:r>
      <w:r w:rsidR="00D42B0E" w:rsidRPr="00E853D0">
        <w:rPr>
          <w:rFonts w:ascii="Corbel" w:hAnsi="Corbel" w:cs="Arial"/>
          <w:sz w:val="26"/>
          <w:szCs w:val="26"/>
          <w:u w:val="none"/>
        </w:rPr>
        <w:t xml:space="preserve">. </w:t>
      </w:r>
    </w:p>
    <w:p w14:paraId="2C77A8C4" w14:textId="77777777" w:rsidR="001A0422" w:rsidRPr="00E853D0" w:rsidRDefault="00D42B0E" w:rsidP="00E672C6">
      <w:pPr>
        <w:pStyle w:val="ListParagraph"/>
        <w:numPr>
          <w:ilvl w:val="1"/>
          <w:numId w:val="2"/>
        </w:numPr>
        <w:ind w:left="720"/>
        <w:rPr>
          <w:rFonts w:ascii="Corbel" w:hAnsi="Corbel" w:cs="Arial"/>
          <w:sz w:val="26"/>
          <w:szCs w:val="26"/>
          <w:u w:val="none"/>
        </w:rPr>
      </w:pPr>
      <w:r w:rsidRPr="00E853D0">
        <w:rPr>
          <w:rFonts w:ascii="Corbel" w:hAnsi="Corbel" w:cs="Arial"/>
          <w:sz w:val="26"/>
          <w:szCs w:val="26"/>
          <w:u w:val="none"/>
        </w:rPr>
        <w:t>In contrast, those served in combined/general agencies showed lower and declining rates of competitive employment during the same age periods.</w:t>
      </w:r>
      <w:r w:rsidR="0082729D" w:rsidRPr="00E853D0">
        <w:rPr>
          <w:rFonts w:ascii="Corbel" w:hAnsi="Corbel" w:cs="Arial"/>
          <w:sz w:val="26"/>
          <w:szCs w:val="26"/>
          <w:u w:val="none"/>
        </w:rPr>
        <w:t xml:space="preserve"> </w:t>
      </w:r>
    </w:p>
    <w:p w14:paraId="05922B9E" w14:textId="7B0B6467" w:rsidR="00D42B0E" w:rsidRPr="00E853D0" w:rsidRDefault="0082729D" w:rsidP="00E672C6">
      <w:pPr>
        <w:pStyle w:val="ListParagraph"/>
        <w:numPr>
          <w:ilvl w:val="1"/>
          <w:numId w:val="2"/>
        </w:numPr>
        <w:ind w:left="720"/>
        <w:rPr>
          <w:rFonts w:ascii="Corbel" w:hAnsi="Corbel" w:cs="Arial"/>
          <w:sz w:val="26"/>
          <w:szCs w:val="26"/>
          <w:u w:val="none"/>
        </w:rPr>
      </w:pPr>
      <w:r w:rsidRPr="00796AF2">
        <w:rPr>
          <w:rFonts w:ascii="Corbel" w:hAnsi="Corbel" w:cs="Arial"/>
          <w:sz w:val="26"/>
          <w:szCs w:val="26"/>
          <w:u w:val="none"/>
        </w:rPr>
        <w:t>A graph showing these patterns</w:t>
      </w:r>
      <w:r w:rsidR="00411ECA" w:rsidRPr="00796AF2">
        <w:rPr>
          <w:rFonts w:ascii="Corbel" w:hAnsi="Corbel" w:cs="Arial"/>
          <w:sz w:val="26"/>
          <w:szCs w:val="26"/>
          <w:u w:val="none"/>
        </w:rPr>
        <w:t xml:space="preserve"> plus a narrative description</w:t>
      </w:r>
      <w:r w:rsidRPr="00796AF2">
        <w:rPr>
          <w:rFonts w:ascii="Corbel" w:hAnsi="Corbel" w:cs="Arial"/>
          <w:sz w:val="26"/>
          <w:szCs w:val="26"/>
          <w:u w:val="none"/>
        </w:rPr>
        <w:t xml:space="preserve"> is available </w:t>
      </w:r>
      <w:r w:rsidR="00411ECA" w:rsidRPr="00796AF2">
        <w:rPr>
          <w:rFonts w:ascii="Corbel" w:hAnsi="Corbel" w:cs="Arial"/>
          <w:sz w:val="26"/>
          <w:szCs w:val="26"/>
          <w:u w:val="none"/>
        </w:rPr>
        <w:t xml:space="preserve">at </w:t>
      </w:r>
      <w:hyperlink r:id="rId10" w:history="1">
        <w:r w:rsidR="00931E9E" w:rsidRPr="00A757E0">
          <w:rPr>
            <w:rStyle w:val="Hyperlink"/>
            <w:rFonts w:ascii="Corbel" w:hAnsi="Corbel" w:cs="Arial"/>
            <w:sz w:val="26"/>
            <w:szCs w:val="26"/>
          </w:rPr>
          <w:t>https://www.blind.msstate.edu/research/completed/employment-outcomes-ssdi-beneficiaries</w:t>
        </w:r>
      </w:hyperlink>
      <w:r w:rsidR="00796AF2">
        <w:rPr>
          <w:rFonts w:ascii="Corbel" w:hAnsi="Corbel" w:cs="Arial"/>
          <w:sz w:val="26"/>
          <w:szCs w:val="26"/>
          <w:u w:val="none"/>
        </w:rPr>
        <w:t>.</w:t>
      </w:r>
      <w:r w:rsidR="00FB3A39" w:rsidRPr="00E853D0">
        <w:rPr>
          <w:rFonts w:ascii="Corbel" w:hAnsi="Corbel" w:cs="Arial"/>
          <w:sz w:val="26"/>
          <w:szCs w:val="26"/>
          <w:u w:val="none"/>
        </w:rPr>
        <w:br/>
      </w:r>
    </w:p>
    <w:p w14:paraId="539FF9A7" w14:textId="77777777" w:rsidR="00FB3A39" w:rsidRPr="00E853D0" w:rsidRDefault="00FB3A39" w:rsidP="003C2605">
      <w:pPr>
        <w:ind w:left="0" w:firstLine="0"/>
        <w:rPr>
          <w:rFonts w:ascii="Corbel" w:hAnsi="Corbel"/>
          <w:b/>
          <w:sz w:val="26"/>
          <w:szCs w:val="26"/>
          <w:u w:val="none"/>
        </w:rPr>
      </w:pPr>
      <w:r w:rsidRPr="00E853D0">
        <w:rPr>
          <w:rFonts w:ascii="Corbel" w:hAnsi="Corbel"/>
          <w:b/>
          <w:sz w:val="26"/>
          <w:szCs w:val="26"/>
          <w:u w:val="none"/>
        </w:rPr>
        <w:t>Race and Ethnicity</w:t>
      </w:r>
    </w:p>
    <w:p w14:paraId="3B3970C8" w14:textId="0E32BBCB" w:rsidR="00FB3A39" w:rsidRPr="00E853D0" w:rsidRDefault="00FB3A39" w:rsidP="00E672C6">
      <w:pPr>
        <w:pStyle w:val="ListParagraph"/>
        <w:numPr>
          <w:ilvl w:val="0"/>
          <w:numId w:val="2"/>
        </w:numPr>
        <w:ind w:left="360"/>
        <w:rPr>
          <w:rFonts w:ascii="Corbel" w:hAnsi="Corbel" w:cs="Arial"/>
          <w:sz w:val="26"/>
          <w:szCs w:val="26"/>
          <w:u w:val="none"/>
        </w:rPr>
      </w:pPr>
      <w:r w:rsidRPr="00E853D0">
        <w:rPr>
          <w:rFonts w:ascii="Corbel" w:hAnsi="Corbel" w:cs="Arial"/>
          <w:sz w:val="26"/>
          <w:szCs w:val="26"/>
          <w:u w:val="none"/>
        </w:rPr>
        <w:t>Asian American consumers tended to have a lower chance of competitive employment compared to White</w:t>
      </w:r>
      <w:r w:rsidR="0013561D" w:rsidRPr="00E853D0">
        <w:rPr>
          <w:rFonts w:ascii="Corbel" w:hAnsi="Corbel" w:cs="Arial"/>
          <w:sz w:val="26"/>
          <w:szCs w:val="26"/>
          <w:u w:val="none"/>
        </w:rPr>
        <w:t xml:space="preserve"> consumers</w:t>
      </w:r>
      <w:r w:rsidRPr="00E853D0">
        <w:rPr>
          <w:rFonts w:ascii="Corbel" w:hAnsi="Corbel" w:cs="Arial"/>
          <w:sz w:val="26"/>
          <w:szCs w:val="26"/>
          <w:u w:val="none"/>
        </w:rPr>
        <w:t>, but agency structure also had an effect.</w:t>
      </w:r>
    </w:p>
    <w:p w14:paraId="25A87ED3" w14:textId="0B466F9A" w:rsidR="0082729D" w:rsidRPr="00E853D0" w:rsidRDefault="0082729D" w:rsidP="00E672C6">
      <w:pPr>
        <w:pStyle w:val="ListParagraph"/>
        <w:numPr>
          <w:ilvl w:val="0"/>
          <w:numId w:val="2"/>
        </w:numPr>
        <w:ind w:left="360"/>
        <w:rPr>
          <w:rFonts w:ascii="Corbel" w:hAnsi="Corbel" w:cs="Arial"/>
          <w:sz w:val="26"/>
          <w:szCs w:val="26"/>
          <w:u w:val="none"/>
        </w:rPr>
      </w:pPr>
      <w:r w:rsidRPr="00E853D0">
        <w:rPr>
          <w:rFonts w:ascii="Corbel" w:hAnsi="Corbel" w:cs="Arial"/>
          <w:sz w:val="26"/>
          <w:szCs w:val="26"/>
          <w:u w:val="none"/>
        </w:rPr>
        <w:t xml:space="preserve">Asian </w:t>
      </w:r>
      <w:r w:rsidR="000A4A7D">
        <w:rPr>
          <w:rFonts w:ascii="Corbel" w:hAnsi="Corbel" w:cs="Arial"/>
          <w:sz w:val="26"/>
          <w:szCs w:val="26"/>
          <w:u w:val="none"/>
        </w:rPr>
        <w:t xml:space="preserve">American </w:t>
      </w:r>
      <w:r w:rsidRPr="00E853D0">
        <w:rPr>
          <w:rFonts w:ascii="Corbel" w:hAnsi="Corbel" w:cs="Arial"/>
          <w:sz w:val="26"/>
          <w:szCs w:val="26"/>
          <w:u w:val="none"/>
        </w:rPr>
        <w:t xml:space="preserve">consumers served in blind agencies had </w:t>
      </w:r>
      <w:r w:rsidR="00736119" w:rsidRPr="00E853D0">
        <w:rPr>
          <w:rFonts w:ascii="Corbel" w:hAnsi="Corbel" w:cs="Arial"/>
          <w:sz w:val="26"/>
          <w:szCs w:val="26"/>
          <w:u w:val="none"/>
        </w:rPr>
        <w:t xml:space="preserve">a </w:t>
      </w:r>
      <w:r w:rsidRPr="00E853D0">
        <w:rPr>
          <w:rFonts w:ascii="Corbel" w:hAnsi="Corbel" w:cs="Arial"/>
          <w:sz w:val="26"/>
          <w:szCs w:val="26"/>
          <w:u w:val="none"/>
        </w:rPr>
        <w:t xml:space="preserve">much </w:t>
      </w:r>
      <w:r w:rsidR="00736119" w:rsidRPr="00E853D0">
        <w:rPr>
          <w:rFonts w:ascii="Corbel" w:hAnsi="Corbel" w:cs="Arial"/>
          <w:sz w:val="26"/>
          <w:szCs w:val="26"/>
          <w:u w:val="none"/>
        </w:rPr>
        <w:t xml:space="preserve">greater chance of </w:t>
      </w:r>
      <w:r w:rsidRPr="00E853D0">
        <w:rPr>
          <w:rFonts w:ascii="Corbel" w:hAnsi="Corbel" w:cs="Arial"/>
          <w:sz w:val="26"/>
          <w:szCs w:val="26"/>
          <w:u w:val="none"/>
        </w:rPr>
        <w:t>competitive employment than when served in combined or general agencies.</w:t>
      </w:r>
    </w:p>
    <w:p w14:paraId="4C163A25" w14:textId="77777777" w:rsidR="00736119" w:rsidRPr="00E853D0" w:rsidRDefault="00736119" w:rsidP="00E672C6">
      <w:pPr>
        <w:pStyle w:val="ListParagraph"/>
        <w:numPr>
          <w:ilvl w:val="0"/>
          <w:numId w:val="2"/>
        </w:numPr>
        <w:ind w:left="360"/>
        <w:rPr>
          <w:rFonts w:ascii="Corbel" w:hAnsi="Corbel" w:cs="Arial"/>
          <w:sz w:val="26"/>
          <w:szCs w:val="26"/>
          <w:u w:val="none"/>
        </w:rPr>
      </w:pPr>
      <w:r w:rsidRPr="00E853D0">
        <w:rPr>
          <w:rFonts w:ascii="Corbel" w:hAnsi="Corbel" w:cs="Arial"/>
          <w:sz w:val="26"/>
          <w:szCs w:val="26"/>
          <w:u w:val="none"/>
        </w:rPr>
        <w:t xml:space="preserve">African American and Hispanic </w:t>
      </w:r>
      <w:r w:rsidR="002206CF" w:rsidRPr="00E853D0">
        <w:rPr>
          <w:rFonts w:ascii="Corbel" w:hAnsi="Corbel" w:cs="Arial"/>
          <w:sz w:val="26"/>
          <w:szCs w:val="26"/>
          <w:u w:val="none"/>
        </w:rPr>
        <w:t>SSDI</w:t>
      </w:r>
      <w:r w:rsidRPr="00E853D0">
        <w:rPr>
          <w:rFonts w:ascii="Corbel" w:hAnsi="Corbel" w:cs="Arial"/>
          <w:sz w:val="26"/>
          <w:szCs w:val="26"/>
          <w:u w:val="none"/>
        </w:rPr>
        <w:t xml:space="preserve">-beneficiary consumers were not different from Whites in </w:t>
      </w:r>
      <w:r w:rsidR="00BD5255" w:rsidRPr="00E853D0">
        <w:rPr>
          <w:rFonts w:ascii="Corbel" w:hAnsi="Corbel" w:cs="Arial"/>
          <w:sz w:val="26"/>
          <w:szCs w:val="26"/>
          <w:u w:val="none"/>
        </w:rPr>
        <w:t xml:space="preserve">likelihood </w:t>
      </w:r>
      <w:r w:rsidRPr="00E853D0">
        <w:rPr>
          <w:rFonts w:ascii="Corbel" w:hAnsi="Corbel" w:cs="Arial"/>
          <w:sz w:val="26"/>
          <w:szCs w:val="26"/>
          <w:u w:val="none"/>
        </w:rPr>
        <w:t>of achieving a competitive employment closure.</w:t>
      </w:r>
    </w:p>
    <w:p w14:paraId="0BC180F3" w14:textId="77777777" w:rsidR="00FB3A39" w:rsidRPr="00E853D0" w:rsidRDefault="00FB3A39" w:rsidP="00FB3A39">
      <w:pPr>
        <w:pStyle w:val="ListParagraph"/>
        <w:ind w:left="360"/>
        <w:rPr>
          <w:rFonts w:ascii="Corbel" w:hAnsi="Corbel" w:cs="Arial"/>
          <w:sz w:val="26"/>
          <w:szCs w:val="26"/>
          <w:u w:val="none"/>
        </w:rPr>
      </w:pPr>
    </w:p>
    <w:p w14:paraId="197CA626" w14:textId="77777777" w:rsidR="00FB3A39" w:rsidRPr="00E853D0" w:rsidRDefault="00FB3A39" w:rsidP="003C2605">
      <w:pPr>
        <w:pStyle w:val="ListParagraph"/>
        <w:ind w:left="0"/>
        <w:rPr>
          <w:rFonts w:ascii="Corbel" w:hAnsi="Corbel" w:cs="Arial"/>
          <w:b/>
          <w:sz w:val="26"/>
          <w:szCs w:val="26"/>
          <w:u w:val="none"/>
        </w:rPr>
      </w:pPr>
      <w:r w:rsidRPr="00E853D0">
        <w:rPr>
          <w:rFonts w:ascii="Corbel" w:hAnsi="Corbel" w:cs="Arial"/>
          <w:b/>
          <w:sz w:val="26"/>
          <w:szCs w:val="26"/>
          <w:u w:val="none"/>
        </w:rPr>
        <w:t>Disability</w:t>
      </w:r>
    </w:p>
    <w:p w14:paraId="5DFEB84D" w14:textId="3807DE63" w:rsidR="00FB3A39" w:rsidRPr="00E853D0" w:rsidRDefault="00FB3A39" w:rsidP="00E672C6">
      <w:pPr>
        <w:pStyle w:val="ListParagraph"/>
        <w:numPr>
          <w:ilvl w:val="0"/>
          <w:numId w:val="2"/>
        </w:numPr>
        <w:ind w:left="360"/>
        <w:rPr>
          <w:rFonts w:ascii="Corbel" w:hAnsi="Corbel" w:cs="Arial"/>
          <w:sz w:val="26"/>
          <w:szCs w:val="26"/>
          <w:u w:val="none"/>
        </w:rPr>
      </w:pPr>
      <w:r w:rsidRPr="00E853D0">
        <w:rPr>
          <w:rFonts w:ascii="Corbel" w:hAnsi="Corbel" w:cs="Arial"/>
          <w:sz w:val="26"/>
          <w:szCs w:val="26"/>
          <w:u w:val="none"/>
        </w:rPr>
        <w:t>Consumers with a non</w:t>
      </w:r>
      <w:r w:rsidR="00796AF2">
        <w:rPr>
          <w:rFonts w:ascii="Corbel" w:hAnsi="Corbel" w:cs="Arial"/>
          <w:sz w:val="26"/>
          <w:szCs w:val="26"/>
          <w:u w:val="none"/>
        </w:rPr>
        <w:t>-</w:t>
      </w:r>
      <w:r w:rsidRPr="00E853D0">
        <w:rPr>
          <w:rFonts w:ascii="Corbel" w:hAnsi="Corbel" w:cs="Arial"/>
          <w:sz w:val="26"/>
          <w:szCs w:val="26"/>
          <w:u w:val="none"/>
        </w:rPr>
        <w:t xml:space="preserve">cognitive secondary disability had a substantially lower </w:t>
      </w:r>
      <w:r w:rsidR="00BD5255" w:rsidRPr="00E853D0">
        <w:rPr>
          <w:rFonts w:ascii="Corbel" w:hAnsi="Corbel" w:cs="Arial"/>
          <w:sz w:val="26"/>
          <w:szCs w:val="26"/>
          <w:u w:val="none"/>
        </w:rPr>
        <w:t>likelihood</w:t>
      </w:r>
      <w:r w:rsidRPr="00E853D0">
        <w:rPr>
          <w:rFonts w:ascii="Corbel" w:hAnsi="Corbel" w:cs="Arial"/>
          <w:sz w:val="26"/>
          <w:szCs w:val="26"/>
          <w:u w:val="none"/>
        </w:rPr>
        <w:t xml:space="preserve"> of competitive employment than those with</w:t>
      </w:r>
      <w:r w:rsidR="009E3173" w:rsidRPr="00E853D0">
        <w:rPr>
          <w:rFonts w:ascii="Corbel" w:hAnsi="Corbel" w:cs="Arial"/>
          <w:sz w:val="26"/>
          <w:szCs w:val="26"/>
          <w:u w:val="none"/>
        </w:rPr>
        <w:t>out any non</w:t>
      </w:r>
      <w:r w:rsidR="00796AF2">
        <w:rPr>
          <w:rFonts w:ascii="Corbel" w:hAnsi="Corbel" w:cs="Arial"/>
          <w:sz w:val="26"/>
          <w:szCs w:val="26"/>
          <w:u w:val="none"/>
        </w:rPr>
        <w:t>-</w:t>
      </w:r>
      <w:r w:rsidR="009E3173" w:rsidRPr="00E853D0">
        <w:rPr>
          <w:rFonts w:ascii="Corbel" w:hAnsi="Corbel" w:cs="Arial"/>
          <w:sz w:val="26"/>
          <w:szCs w:val="26"/>
          <w:u w:val="none"/>
        </w:rPr>
        <w:t>cognitive s</w:t>
      </w:r>
      <w:r w:rsidRPr="00E853D0">
        <w:rPr>
          <w:rFonts w:ascii="Corbel" w:hAnsi="Corbel" w:cs="Arial"/>
          <w:sz w:val="26"/>
          <w:szCs w:val="26"/>
          <w:u w:val="none"/>
        </w:rPr>
        <w:t>econdary disability.</w:t>
      </w:r>
    </w:p>
    <w:p w14:paraId="0FF13A2B" w14:textId="4B5B25F9" w:rsidR="001A5363" w:rsidRPr="00E853D0" w:rsidRDefault="000E55ED" w:rsidP="00E672C6">
      <w:pPr>
        <w:pStyle w:val="ListParagraph"/>
        <w:numPr>
          <w:ilvl w:val="0"/>
          <w:numId w:val="2"/>
        </w:numPr>
        <w:ind w:left="360"/>
        <w:rPr>
          <w:rFonts w:ascii="Corbel" w:hAnsi="Corbel" w:cs="Arial"/>
          <w:sz w:val="26"/>
          <w:szCs w:val="26"/>
          <w:u w:val="none"/>
        </w:rPr>
      </w:pPr>
      <w:r w:rsidRPr="00E853D0">
        <w:rPr>
          <w:rFonts w:ascii="Corbel" w:hAnsi="Corbel" w:cs="Arial"/>
          <w:sz w:val="26"/>
          <w:szCs w:val="26"/>
          <w:u w:val="none"/>
        </w:rPr>
        <w:t>The likelihood</w:t>
      </w:r>
      <w:r w:rsidR="00377E1B" w:rsidRPr="00E853D0">
        <w:rPr>
          <w:rFonts w:ascii="Corbel" w:hAnsi="Corbel" w:cs="Arial"/>
          <w:sz w:val="26"/>
          <w:szCs w:val="26"/>
          <w:u w:val="none"/>
        </w:rPr>
        <w:t xml:space="preserve"> of competitive employment for a consumer who was legally blind was </w:t>
      </w:r>
      <w:r w:rsidRPr="00E853D0">
        <w:rPr>
          <w:rFonts w:ascii="Corbel" w:hAnsi="Corbel" w:cs="Arial"/>
          <w:sz w:val="26"/>
          <w:szCs w:val="26"/>
          <w:u w:val="none"/>
        </w:rPr>
        <w:t>about 25</w:t>
      </w:r>
      <w:r w:rsidR="00377E1B" w:rsidRPr="00E853D0">
        <w:rPr>
          <w:rFonts w:ascii="Corbel" w:hAnsi="Corbel" w:cs="Arial"/>
          <w:sz w:val="26"/>
          <w:szCs w:val="26"/>
          <w:u w:val="none"/>
        </w:rPr>
        <w:t xml:space="preserve">% lower than for a consumer </w:t>
      </w:r>
      <w:r w:rsidR="005C5E6E" w:rsidRPr="00E853D0">
        <w:rPr>
          <w:rFonts w:ascii="Corbel" w:hAnsi="Corbel" w:cs="Arial"/>
          <w:sz w:val="26"/>
          <w:szCs w:val="26"/>
          <w:u w:val="none"/>
        </w:rPr>
        <w:t>with a less severe visual impairment</w:t>
      </w:r>
      <w:r w:rsidR="00485DAF" w:rsidRPr="00E853D0">
        <w:rPr>
          <w:rFonts w:ascii="Corbel" w:hAnsi="Corbel" w:cs="Arial"/>
          <w:sz w:val="26"/>
          <w:szCs w:val="26"/>
          <w:u w:val="none"/>
        </w:rPr>
        <w:t>.</w:t>
      </w:r>
    </w:p>
    <w:p w14:paraId="34512F15" w14:textId="77777777" w:rsidR="005A32A9" w:rsidRPr="00E853D0" w:rsidRDefault="005A32A9" w:rsidP="0048041B">
      <w:pPr>
        <w:ind w:left="360" w:firstLine="0"/>
        <w:rPr>
          <w:rFonts w:ascii="Corbel" w:hAnsi="Corbel"/>
          <w:sz w:val="26"/>
          <w:szCs w:val="26"/>
          <w:u w:val="none"/>
        </w:rPr>
      </w:pPr>
    </w:p>
    <w:p w14:paraId="2987F998" w14:textId="7FDFEAA6" w:rsidR="00FB3A39" w:rsidRPr="00E853D0" w:rsidRDefault="00796AF2" w:rsidP="00B60C6C">
      <w:pPr>
        <w:ind w:left="360"/>
        <w:rPr>
          <w:rFonts w:ascii="Corbel" w:hAnsi="Corbel"/>
          <w:b/>
          <w:sz w:val="26"/>
          <w:szCs w:val="26"/>
          <w:u w:val="none"/>
        </w:rPr>
      </w:pPr>
      <w:r>
        <w:rPr>
          <w:rFonts w:ascii="Corbel" w:hAnsi="Corbel"/>
          <w:b/>
          <w:sz w:val="26"/>
          <w:szCs w:val="26"/>
          <w:u w:val="none"/>
        </w:rPr>
        <w:t>Socioeconomic F</w:t>
      </w:r>
      <w:r w:rsidR="00FB3A39" w:rsidRPr="00E853D0">
        <w:rPr>
          <w:rFonts w:ascii="Corbel" w:hAnsi="Corbel"/>
          <w:b/>
          <w:sz w:val="26"/>
          <w:szCs w:val="26"/>
          <w:u w:val="none"/>
        </w:rPr>
        <w:t>actors</w:t>
      </w:r>
    </w:p>
    <w:p w14:paraId="607F0233" w14:textId="77777777" w:rsidR="0048041B" w:rsidRPr="00E853D0" w:rsidRDefault="0048041B" w:rsidP="00E672C6">
      <w:pPr>
        <w:pStyle w:val="ListParagraph"/>
        <w:numPr>
          <w:ilvl w:val="0"/>
          <w:numId w:val="5"/>
        </w:numPr>
        <w:ind w:left="360"/>
        <w:rPr>
          <w:rFonts w:ascii="Corbel" w:hAnsi="Corbel" w:cs="Arial"/>
          <w:sz w:val="26"/>
          <w:szCs w:val="26"/>
          <w:u w:val="none"/>
        </w:rPr>
      </w:pPr>
      <w:r w:rsidRPr="00E853D0">
        <w:rPr>
          <w:rFonts w:ascii="Corbel" w:hAnsi="Corbel" w:cs="Arial"/>
          <w:sz w:val="26"/>
          <w:szCs w:val="26"/>
          <w:u w:val="none"/>
        </w:rPr>
        <w:t>A higher level of education was associated with a greater chance of competitive employment.</w:t>
      </w:r>
    </w:p>
    <w:p w14:paraId="03845165" w14:textId="77777777" w:rsidR="00CD0760" w:rsidRPr="00E853D0" w:rsidRDefault="0048041B" w:rsidP="00E672C6">
      <w:pPr>
        <w:pStyle w:val="ListParagraph"/>
        <w:numPr>
          <w:ilvl w:val="0"/>
          <w:numId w:val="5"/>
        </w:numPr>
        <w:ind w:left="360"/>
        <w:rPr>
          <w:rFonts w:ascii="Corbel" w:hAnsi="Corbel" w:cs="Arial"/>
          <w:sz w:val="26"/>
          <w:szCs w:val="26"/>
          <w:u w:val="none"/>
        </w:rPr>
      </w:pPr>
      <w:r w:rsidRPr="00E853D0">
        <w:rPr>
          <w:rFonts w:ascii="Corbel" w:hAnsi="Corbel" w:cs="Arial"/>
          <w:sz w:val="26"/>
          <w:szCs w:val="26"/>
          <w:u w:val="none"/>
        </w:rPr>
        <w:t xml:space="preserve">Receiving more weekly earnings </w:t>
      </w:r>
      <w:r w:rsidR="00CD0760" w:rsidRPr="00E853D0">
        <w:rPr>
          <w:rFonts w:ascii="Corbel" w:hAnsi="Corbel" w:cs="Arial"/>
          <w:sz w:val="26"/>
          <w:szCs w:val="26"/>
          <w:u w:val="none"/>
        </w:rPr>
        <w:t xml:space="preserve">and </w:t>
      </w:r>
      <w:r w:rsidRPr="00E853D0">
        <w:rPr>
          <w:rFonts w:ascii="Corbel" w:hAnsi="Corbel" w:cs="Arial"/>
          <w:sz w:val="26"/>
          <w:szCs w:val="26"/>
          <w:u w:val="none"/>
        </w:rPr>
        <w:t xml:space="preserve">greater monthly </w:t>
      </w:r>
      <w:r w:rsidR="002206CF" w:rsidRPr="00E853D0">
        <w:rPr>
          <w:rFonts w:ascii="Corbel" w:hAnsi="Corbel" w:cs="Arial"/>
          <w:sz w:val="26"/>
          <w:szCs w:val="26"/>
          <w:u w:val="none"/>
        </w:rPr>
        <w:t>SSDI</w:t>
      </w:r>
      <w:r w:rsidRPr="00E853D0">
        <w:rPr>
          <w:rFonts w:ascii="Corbel" w:hAnsi="Corbel" w:cs="Arial"/>
          <w:sz w:val="26"/>
          <w:szCs w:val="26"/>
          <w:u w:val="none"/>
        </w:rPr>
        <w:t xml:space="preserve"> payment</w:t>
      </w:r>
      <w:r w:rsidR="00CD0760" w:rsidRPr="00E853D0">
        <w:rPr>
          <w:rFonts w:ascii="Corbel" w:hAnsi="Corbel" w:cs="Arial"/>
          <w:sz w:val="26"/>
          <w:szCs w:val="26"/>
          <w:u w:val="none"/>
        </w:rPr>
        <w:t>s</w:t>
      </w:r>
      <w:r w:rsidRPr="00E853D0">
        <w:rPr>
          <w:rFonts w:ascii="Corbel" w:hAnsi="Corbel" w:cs="Arial"/>
          <w:sz w:val="26"/>
          <w:szCs w:val="26"/>
          <w:u w:val="none"/>
        </w:rPr>
        <w:t xml:space="preserve"> at application</w:t>
      </w:r>
      <w:r w:rsidR="00CD0760" w:rsidRPr="00E853D0">
        <w:rPr>
          <w:rFonts w:ascii="Corbel" w:hAnsi="Corbel" w:cs="Arial"/>
          <w:sz w:val="26"/>
          <w:szCs w:val="26"/>
          <w:u w:val="none"/>
        </w:rPr>
        <w:t xml:space="preserve"> were associated with greater chance of competitive employment. (Both of these factors are indicative of employment, present and past.)</w:t>
      </w:r>
    </w:p>
    <w:p w14:paraId="2B65D538" w14:textId="77777777" w:rsidR="00D90458" w:rsidRPr="00E853D0" w:rsidRDefault="00D90458" w:rsidP="0005070E">
      <w:pPr>
        <w:ind w:left="360" w:firstLine="0"/>
        <w:rPr>
          <w:rFonts w:ascii="Corbel" w:hAnsi="Corbel"/>
          <w:sz w:val="26"/>
          <w:szCs w:val="26"/>
        </w:rPr>
      </w:pPr>
    </w:p>
    <w:p w14:paraId="72CC2C2E" w14:textId="77777777" w:rsidR="005053DD" w:rsidRDefault="005053DD">
      <w:pPr>
        <w:rPr>
          <w:rFonts w:ascii="Corbel" w:hAnsi="Corbel"/>
          <w:b/>
          <w:sz w:val="26"/>
          <w:szCs w:val="26"/>
        </w:rPr>
      </w:pPr>
      <w:r>
        <w:rPr>
          <w:rFonts w:ascii="Corbel" w:hAnsi="Corbel"/>
          <w:b/>
          <w:sz w:val="26"/>
          <w:szCs w:val="26"/>
        </w:rPr>
        <w:br w:type="page"/>
      </w:r>
    </w:p>
    <w:p w14:paraId="7CB18F5F" w14:textId="0E266A64" w:rsidR="00D841A3" w:rsidRPr="00E853D0" w:rsidRDefault="007012FC" w:rsidP="00D841A3">
      <w:pPr>
        <w:ind w:left="0" w:firstLine="0"/>
        <w:rPr>
          <w:rFonts w:ascii="Corbel" w:hAnsi="Corbel"/>
          <w:sz w:val="26"/>
          <w:szCs w:val="26"/>
        </w:rPr>
      </w:pPr>
      <w:r>
        <w:rPr>
          <w:rFonts w:ascii="Corbel" w:hAnsi="Corbel"/>
          <w:b/>
          <w:sz w:val="26"/>
          <w:szCs w:val="26"/>
        </w:rPr>
        <w:lastRenderedPageBreak/>
        <w:t>Study</w:t>
      </w:r>
      <w:r w:rsidR="00D841A3" w:rsidRPr="00E853D0">
        <w:rPr>
          <w:rFonts w:ascii="Corbel" w:hAnsi="Corbel"/>
          <w:b/>
          <w:sz w:val="26"/>
          <w:szCs w:val="26"/>
        </w:rPr>
        <w:t xml:space="preserve"> II: VR Services and Competitive Employment for SSDI Beneficiaries with Visual Impairments</w:t>
      </w:r>
    </w:p>
    <w:p w14:paraId="42D61B09" w14:textId="77777777" w:rsidR="00BD5255" w:rsidRPr="00E853D0" w:rsidRDefault="00BD5255" w:rsidP="00D841A3">
      <w:pPr>
        <w:ind w:left="0" w:firstLine="0"/>
        <w:rPr>
          <w:rFonts w:ascii="Corbel" w:hAnsi="Corbel"/>
          <w:sz w:val="26"/>
          <w:szCs w:val="26"/>
        </w:rPr>
      </w:pPr>
    </w:p>
    <w:p w14:paraId="4178141A" w14:textId="4C39EDD2" w:rsidR="00BD5255" w:rsidRPr="00E853D0" w:rsidRDefault="00DD1023" w:rsidP="00BD5255">
      <w:pPr>
        <w:ind w:left="0" w:firstLine="0"/>
        <w:rPr>
          <w:rFonts w:ascii="Corbel" w:hAnsi="Corbel"/>
          <w:sz w:val="26"/>
          <w:szCs w:val="26"/>
          <w:u w:val="none"/>
        </w:rPr>
      </w:pPr>
      <w:r w:rsidRPr="00E853D0">
        <w:rPr>
          <w:rFonts w:ascii="Corbel" w:hAnsi="Corbel"/>
          <w:sz w:val="26"/>
          <w:szCs w:val="26"/>
          <w:u w:val="none"/>
        </w:rPr>
        <w:t>The major objective of this study was to investigate VR services and how they impact achievement of competitive employment outcomes. The findings considered and controlled for demographic, socioeconomic</w:t>
      </w:r>
      <w:r w:rsidR="00796AF2">
        <w:rPr>
          <w:rFonts w:ascii="Corbel" w:hAnsi="Corbel"/>
          <w:sz w:val="26"/>
          <w:szCs w:val="26"/>
          <w:u w:val="none"/>
        </w:rPr>
        <w:t>,</w:t>
      </w:r>
      <w:r w:rsidRPr="00E853D0">
        <w:rPr>
          <w:rFonts w:ascii="Corbel" w:hAnsi="Corbel"/>
          <w:sz w:val="26"/>
          <w:szCs w:val="26"/>
          <w:u w:val="none"/>
        </w:rPr>
        <w:t xml:space="preserve"> and disability influences on competitive employment, which were </w:t>
      </w:r>
      <w:r w:rsidR="0013561D" w:rsidRPr="00E853D0">
        <w:rPr>
          <w:rFonts w:ascii="Corbel" w:hAnsi="Corbel"/>
          <w:sz w:val="26"/>
          <w:szCs w:val="26"/>
          <w:u w:val="none"/>
        </w:rPr>
        <w:t xml:space="preserve">the focus of Study I. </w:t>
      </w:r>
    </w:p>
    <w:p w14:paraId="66733A9D" w14:textId="6D29FCA6" w:rsidR="00D841A3" w:rsidRPr="00E853D0" w:rsidRDefault="001B3631" w:rsidP="00E672C6">
      <w:pPr>
        <w:pStyle w:val="ListParagraph"/>
        <w:numPr>
          <w:ilvl w:val="0"/>
          <w:numId w:val="13"/>
        </w:numPr>
        <w:ind w:left="360"/>
        <w:rPr>
          <w:rFonts w:ascii="Corbel" w:hAnsi="Corbel" w:cs="Arial"/>
          <w:sz w:val="26"/>
          <w:szCs w:val="26"/>
          <w:u w:val="none"/>
        </w:rPr>
      </w:pPr>
      <w:r w:rsidRPr="00796AF2">
        <w:rPr>
          <w:rFonts w:ascii="Corbel" w:hAnsi="Corbel" w:cs="Arial"/>
          <w:sz w:val="26"/>
          <w:szCs w:val="26"/>
          <w:u w:val="none"/>
        </w:rPr>
        <w:t xml:space="preserve">We found </w:t>
      </w:r>
      <w:r w:rsidR="005A113B" w:rsidRPr="00796AF2">
        <w:rPr>
          <w:rFonts w:ascii="Corbel" w:hAnsi="Corbel" w:cs="Arial"/>
          <w:sz w:val="26"/>
          <w:szCs w:val="26"/>
          <w:u w:val="none"/>
        </w:rPr>
        <w:t xml:space="preserve">sets of </w:t>
      </w:r>
      <w:r w:rsidRPr="00796AF2">
        <w:rPr>
          <w:rFonts w:ascii="Corbel" w:hAnsi="Corbel" w:cs="Arial"/>
          <w:sz w:val="26"/>
          <w:szCs w:val="26"/>
          <w:u w:val="none"/>
        </w:rPr>
        <w:t>specific services</w:t>
      </w:r>
      <w:r w:rsidR="00796AF2">
        <w:rPr>
          <w:rFonts w:ascii="Corbel" w:hAnsi="Corbel" w:cs="Arial"/>
          <w:sz w:val="26"/>
          <w:szCs w:val="26"/>
          <w:u w:val="none"/>
        </w:rPr>
        <w:t xml:space="preserve"> </w:t>
      </w:r>
      <w:r w:rsidR="005A113B" w:rsidRPr="00796AF2">
        <w:rPr>
          <w:rFonts w:ascii="Corbel" w:hAnsi="Corbel" w:cs="Arial"/>
          <w:sz w:val="26"/>
          <w:szCs w:val="26"/>
          <w:u w:val="none"/>
        </w:rPr>
        <w:t xml:space="preserve">that were related to one another in the </w:t>
      </w:r>
      <w:r w:rsidRPr="00796AF2">
        <w:rPr>
          <w:rFonts w:ascii="Corbel" w:hAnsi="Corbel" w:cs="Arial"/>
          <w:sz w:val="26"/>
          <w:szCs w:val="26"/>
          <w:u w:val="none"/>
        </w:rPr>
        <w:t xml:space="preserve">way they were delivered. </w:t>
      </w:r>
      <w:r w:rsidR="00FD021C" w:rsidRPr="00796AF2">
        <w:rPr>
          <w:rFonts w:ascii="Corbel" w:hAnsi="Corbel" w:cs="Arial"/>
          <w:sz w:val="26"/>
          <w:szCs w:val="26"/>
          <w:u w:val="none"/>
        </w:rPr>
        <w:t xml:space="preserve">If a consumer received one service within a group, they </w:t>
      </w:r>
      <w:r w:rsidR="00004FE1" w:rsidRPr="00796AF2">
        <w:rPr>
          <w:rFonts w:ascii="Corbel" w:hAnsi="Corbel" w:cs="Arial"/>
          <w:sz w:val="26"/>
          <w:szCs w:val="26"/>
          <w:u w:val="none"/>
        </w:rPr>
        <w:t xml:space="preserve">were </w:t>
      </w:r>
      <w:r w:rsidR="00FD021C" w:rsidRPr="00796AF2">
        <w:rPr>
          <w:rFonts w:ascii="Corbel" w:hAnsi="Corbel" w:cs="Arial"/>
          <w:sz w:val="26"/>
          <w:szCs w:val="26"/>
          <w:u w:val="none"/>
        </w:rPr>
        <w:t xml:space="preserve">more likely to receive other services in that same group. We found four </w:t>
      </w:r>
      <w:r w:rsidRPr="00796AF2">
        <w:rPr>
          <w:rFonts w:ascii="Corbel" w:hAnsi="Corbel" w:cs="Arial"/>
          <w:sz w:val="26"/>
          <w:szCs w:val="26"/>
          <w:u w:val="none"/>
        </w:rPr>
        <w:t xml:space="preserve">groupings </w:t>
      </w:r>
      <w:r w:rsidR="005B39A5" w:rsidRPr="00796AF2">
        <w:rPr>
          <w:rFonts w:ascii="Corbel" w:hAnsi="Corbel" w:cs="Arial"/>
          <w:sz w:val="26"/>
          <w:szCs w:val="26"/>
          <w:u w:val="none"/>
        </w:rPr>
        <w:t>of services</w:t>
      </w:r>
      <w:r w:rsidR="00FD021C" w:rsidRPr="00796AF2">
        <w:rPr>
          <w:rFonts w:ascii="Corbel" w:hAnsi="Corbel" w:cs="Arial"/>
          <w:sz w:val="26"/>
          <w:szCs w:val="26"/>
          <w:u w:val="none"/>
        </w:rPr>
        <w:t>, which</w:t>
      </w:r>
      <w:r w:rsidR="005B39A5" w:rsidRPr="00796AF2">
        <w:rPr>
          <w:rFonts w:ascii="Corbel" w:hAnsi="Corbel" w:cs="Arial"/>
          <w:sz w:val="26"/>
          <w:szCs w:val="26"/>
          <w:u w:val="none"/>
        </w:rPr>
        <w:t xml:space="preserve"> </w:t>
      </w:r>
      <w:r w:rsidR="00014EE9" w:rsidRPr="00796AF2">
        <w:rPr>
          <w:rFonts w:ascii="Corbel" w:hAnsi="Corbel" w:cs="Arial"/>
          <w:sz w:val="26"/>
          <w:szCs w:val="26"/>
          <w:u w:val="none"/>
        </w:rPr>
        <w:t xml:space="preserve">we called </w:t>
      </w:r>
      <w:r w:rsidR="00FD021C" w:rsidRPr="00796AF2">
        <w:rPr>
          <w:rFonts w:ascii="Corbel" w:hAnsi="Corbel" w:cs="Arial"/>
          <w:sz w:val="26"/>
          <w:szCs w:val="26"/>
          <w:u w:val="none"/>
        </w:rPr>
        <w:t xml:space="preserve">(1) </w:t>
      </w:r>
      <w:r w:rsidRPr="00796AF2">
        <w:rPr>
          <w:rFonts w:ascii="Corbel" w:hAnsi="Corbel" w:cs="Arial"/>
          <w:sz w:val="26"/>
          <w:szCs w:val="26"/>
          <w:u w:val="none"/>
        </w:rPr>
        <w:t xml:space="preserve">Special &amp; Remedial Services, </w:t>
      </w:r>
      <w:r w:rsidR="00FD021C" w:rsidRPr="00796AF2">
        <w:rPr>
          <w:rFonts w:ascii="Corbel" w:hAnsi="Corbel" w:cs="Arial"/>
          <w:sz w:val="26"/>
          <w:szCs w:val="26"/>
          <w:u w:val="none"/>
        </w:rPr>
        <w:t xml:space="preserve">(2) </w:t>
      </w:r>
      <w:r w:rsidRPr="00796AF2">
        <w:rPr>
          <w:rFonts w:ascii="Corbel" w:hAnsi="Corbel" w:cs="Arial"/>
          <w:sz w:val="26"/>
          <w:szCs w:val="26"/>
          <w:u w:val="none"/>
        </w:rPr>
        <w:t xml:space="preserve">Job-Related Services, </w:t>
      </w:r>
      <w:r w:rsidR="00FD021C" w:rsidRPr="00796AF2">
        <w:rPr>
          <w:rFonts w:ascii="Corbel" w:hAnsi="Corbel" w:cs="Arial"/>
          <w:sz w:val="26"/>
          <w:szCs w:val="26"/>
          <w:u w:val="none"/>
        </w:rPr>
        <w:t xml:space="preserve">(3) </w:t>
      </w:r>
      <w:r w:rsidRPr="00796AF2">
        <w:rPr>
          <w:rFonts w:ascii="Corbel" w:hAnsi="Corbel" w:cs="Arial"/>
          <w:sz w:val="26"/>
          <w:szCs w:val="26"/>
          <w:u w:val="none"/>
        </w:rPr>
        <w:t xml:space="preserve">Evaluation, and </w:t>
      </w:r>
      <w:r w:rsidR="00FD021C" w:rsidRPr="00796AF2">
        <w:rPr>
          <w:rFonts w:ascii="Corbel" w:hAnsi="Corbel" w:cs="Arial"/>
          <w:sz w:val="26"/>
          <w:szCs w:val="26"/>
          <w:u w:val="none"/>
        </w:rPr>
        <w:t xml:space="preserve">(4) </w:t>
      </w:r>
      <w:r w:rsidRPr="00796AF2">
        <w:rPr>
          <w:rFonts w:ascii="Corbel" w:hAnsi="Corbel" w:cs="Arial"/>
          <w:sz w:val="26"/>
          <w:szCs w:val="26"/>
          <w:u w:val="none"/>
        </w:rPr>
        <w:t>Training and Support Services.</w:t>
      </w:r>
      <w:r w:rsidR="00E672C6">
        <w:rPr>
          <w:rFonts w:ascii="Corbel" w:hAnsi="Corbel" w:cs="Arial"/>
          <w:sz w:val="26"/>
          <w:szCs w:val="26"/>
          <w:u w:val="none"/>
        </w:rPr>
        <w:t xml:space="preserve"> </w:t>
      </w:r>
      <w:r w:rsidR="00FD6725" w:rsidRPr="00E853D0">
        <w:rPr>
          <w:rFonts w:ascii="Corbel" w:hAnsi="Corbel" w:cs="Arial"/>
          <w:sz w:val="26"/>
          <w:szCs w:val="26"/>
          <w:u w:val="none"/>
        </w:rPr>
        <w:t xml:space="preserve">We tried to simplify studying </w:t>
      </w:r>
      <w:r w:rsidR="00FD021C" w:rsidRPr="00E853D0">
        <w:rPr>
          <w:rFonts w:ascii="Corbel" w:hAnsi="Corbel" w:cs="Arial"/>
          <w:sz w:val="26"/>
          <w:szCs w:val="26"/>
          <w:u w:val="none"/>
        </w:rPr>
        <w:t xml:space="preserve">how </w:t>
      </w:r>
      <w:r w:rsidR="00FD6725" w:rsidRPr="00E853D0">
        <w:rPr>
          <w:rFonts w:ascii="Corbel" w:hAnsi="Corbel" w:cs="Arial"/>
          <w:sz w:val="26"/>
          <w:szCs w:val="26"/>
          <w:u w:val="none"/>
        </w:rPr>
        <w:t xml:space="preserve">services </w:t>
      </w:r>
      <w:r w:rsidR="00FD021C" w:rsidRPr="00E853D0">
        <w:rPr>
          <w:rFonts w:ascii="Corbel" w:hAnsi="Corbel" w:cs="Arial"/>
          <w:sz w:val="26"/>
          <w:szCs w:val="26"/>
          <w:u w:val="none"/>
        </w:rPr>
        <w:t xml:space="preserve">were related to competitive employment </w:t>
      </w:r>
      <w:r w:rsidR="00FD6725" w:rsidRPr="00E853D0">
        <w:rPr>
          <w:rFonts w:ascii="Corbel" w:hAnsi="Corbel" w:cs="Arial"/>
          <w:sz w:val="26"/>
          <w:szCs w:val="26"/>
          <w:u w:val="none"/>
        </w:rPr>
        <w:t xml:space="preserve">by examining the relationship to competitive employment of each of the </w:t>
      </w:r>
      <w:r w:rsidR="00FD021C" w:rsidRPr="00E853D0">
        <w:rPr>
          <w:rFonts w:ascii="Corbel" w:hAnsi="Corbel" w:cs="Arial"/>
          <w:sz w:val="26"/>
          <w:szCs w:val="26"/>
          <w:u w:val="none"/>
        </w:rPr>
        <w:t xml:space="preserve">specific </w:t>
      </w:r>
      <w:r w:rsidR="00FD6725" w:rsidRPr="00E853D0">
        <w:rPr>
          <w:rFonts w:ascii="Corbel" w:hAnsi="Corbel" w:cs="Arial"/>
          <w:sz w:val="26"/>
          <w:szCs w:val="26"/>
          <w:u w:val="none"/>
        </w:rPr>
        <w:t xml:space="preserve">service groupings. However, there were some complications to this approach in that some specific services within each service grouping had different relationships (positive, negative, or no relationship) to competitive employment. As we </w:t>
      </w:r>
      <w:r w:rsidR="005B39A5" w:rsidRPr="00E853D0">
        <w:rPr>
          <w:rFonts w:ascii="Corbel" w:hAnsi="Corbel" w:cs="Arial"/>
          <w:sz w:val="26"/>
          <w:szCs w:val="26"/>
          <w:u w:val="none"/>
        </w:rPr>
        <w:t xml:space="preserve">present </w:t>
      </w:r>
      <w:r w:rsidR="00FD6725" w:rsidRPr="00E853D0">
        <w:rPr>
          <w:rFonts w:ascii="Corbel" w:hAnsi="Corbel" w:cs="Arial"/>
          <w:sz w:val="26"/>
          <w:szCs w:val="26"/>
          <w:u w:val="none"/>
        </w:rPr>
        <w:t xml:space="preserve">our findings, we will explain the </w:t>
      </w:r>
      <w:r w:rsidR="009C3812" w:rsidRPr="00E853D0">
        <w:rPr>
          <w:rFonts w:ascii="Corbel" w:hAnsi="Corbel" w:cs="Arial"/>
          <w:sz w:val="26"/>
          <w:szCs w:val="26"/>
          <w:u w:val="none"/>
        </w:rPr>
        <w:t xml:space="preserve">most important </w:t>
      </w:r>
      <w:r w:rsidR="00FD6725" w:rsidRPr="00E853D0">
        <w:rPr>
          <w:rFonts w:ascii="Corbel" w:hAnsi="Corbel" w:cs="Arial"/>
          <w:sz w:val="26"/>
          <w:szCs w:val="26"/>
          <w:u w:val="none"/>
        </w:rPr>
        <w:t xml:space="preserve">relationships of the groupings </w:t>
      </w:r>
      <w:r w:rsidR="00FD6725" w:rsidRPr="00E853D0">
        <w:rPr>
          <w:rFonts w:ascii="Corbel" w:hAnsi="Corbel" w:cs="Arial"/>
          <w:i/>
          <w:sz w:val="26"/>
          <w:szCs w:val="26"/>
          <w:u w:val="none"/>
        </w:rPr>
        <w:t>and</w:t>
      </w:r>
      <w:r w:rsidR="00FD6725" w:rsidRPr="00E853D0">
        <w:rPr>
          <w:rFonts w:ascii="Corbel" w:hAnsi="Corbel" w:cs="Arial"/>
          <w:sz w:val="26"/>
          <w:szCs w:val="26"/>
          <w:u w:val="none"/>
        </w:rPr>
        <w:t xml:space="preserve"> the specific services in each grouping </w:t>
      </w:r>
      <w:r w:rsidR="005E5E3C" w:rsidRPr="00E853D0">
        <w:rPr>
          <w:rFonts w:ascii="Corbel" w:hAnsi="Corbel" w:cs="Arial"/>
          <w:sz w:val="26"/>
          <w:szCs w:val="26"/>
          <w:u w:val="none"/>
        </w:rPr>
        <w:t xml:space="preserve">that were related </w:t>
      </w:r>
      <w:r w:rsidR="00FD6725" w:rsidRPr="00E853D0">
        <w:rPr>
          <w:rFonts w:ascii="Corbel" w:hAnsi="Corbel" w:cs="Arial"/>
          <w:sz w:val="26"/>
          <w:szCs w:val="26"/>
          <w:u w:val="none"/>
        </w:rPr>
        <w:t>to competitive employment.</w:t>
      </w:r>
    </w:p>
    <w:p w14:paraId="6D9C7964" w14:textId="2948D163" w:rsidR="00F91B3B" w:rsidRPr="00E853D0" w:rsidRDefault="00F91B3B" w:rsidP="00E672C6">
      <w:pPr>
        <w:pStyle w:val="ListParagraph"/>
        <w:numPr>
          <w:ilvl w:val="0"/>
          <w:numId w:val="13"/>
        </w:numPr>
        <w:ind w:left="360"/>
        <w:rPr>
          <w:rFonts w:ascii="Corbel" w:hAnsi="Corbel" w:cs="Arial"/>
          <w:sz w:val="26"/>
          <w:szCs w:val="26"/>
          <w:u w:val="none"/>
        </w:rPr>
      </w:pPr>
      <w:r w:rsidRPr="00796AF2">
        <w:rPr>
          <w:rFonts w:ascii="Corbel" w:hAnsi="Corbel" w:cs="Arial"/>
          <w:sz w:val="26"/>
          <w:szCs w:val="26"/>
          <w:u w:val="none"/>
        </w:rPr>
        <w:t xml:space="preserve">Receiving services in the Special &amp; Remedial Services group, such as </w:t>
      </w:r>
      <w:r w:rsidR="009375EF">
        <w:rPr>
          <w:rFonts w:ascii="Corbel" w:hAnsi="Corbel" w:cs="Arial"/>
          <w:sz w:val="26"/>
          <w:szCs w:val="26"/>
          <w:u w:val="none"/>
        </w:rPr>
        <w:t>r</w:t>
      </w:r>
      <w:r w:rsidRPr="00796AF2">
        <w:rPr>
          <w:rFonts w:ascii="Corbel" w:hAnsi="Corbel" w:cs="Arial"/>
          <w:sz w:val="26"/>
          <w:szCs w:val="26"/>
          <w:u w:val="none"/>
        </w:rPr>
        <w:t xml:space="preserve">eader services and </w:t>
      </w:r>
      <w:r w:rsidR="009375EF">
        <w:rPr>
          <w:rFonts w:ascii="Corbel" w:hAnsi="Corbel" w:cs="Arial"/>
          <w:sz w:val="26"/>
          <w:szCs w:val="26"/>
          <w:u w:val="none"/>
        </w:rPr>
        <w:t>i</w:t>
      </w:r>
      <w:r w:rsidRPr="00796AF2">
        <w:rPr>
          <w:rFonts w:ascii="Corbel" w:hAnsi="Corbel" w:cs="Arial"/>
          <w:sz w:val="26"/>
          <w:szCs w:val="26"/>
          <w:u w:val="none"/>
        </w:rPr>
        <w:t xml:space="preserve">nterpreter services had a </w:t>
      </w:r>
      <w:r w:rsidRPr="00796AF2">
        <w:rPr>
          <w:rFonts w:ascii="Corbel" w:hAnsi="Corbel" w:cs="Arial"/>
          <w:i/>
          <w:sz w:val="26"/>
          <w:szCs w:val="26"/>
          <w:u w:val="none"/>
        </w:rPr>
        <w:t>negative</w:t>
      </w:r>
      <w:r w:rsidRPr="00796AF2">
        <w:rPr>
          <w:rFonts w:ascii="Corbel" w:hAnsi="Corbel" w:cs="Arial"/>
          <w:sz w:val="26"/>
          <w:szCs w:val="26"/>
          <w:u w:val="none"/>
        </w:rPr>
        <w:t xml:space="preserve"> relationship with achieving competitive employment. </w:t>
      </w:r>
      <w:r w:rsidR="007B135B" w:rsidRPr="00796AF2">
        <w:rPr>
          <w:rFonts w:ascii="Corbel" w:hAnsi="Corbel" w:cs="Arial"/>
          <w:sz w:val="26"/>
          <w:szCs w:val="26"/>
          <w:u w:val="none"/>
        </w:rPr>
        <w:t xml:space="preserve">We interpret these service needs as “risk indicators” </w:t>
      </w:r>
      <w:r w:rsidR="001C58DE" w:rsidRPr="00796AF2">
        <w:rPr>
          <w:rFonts w:ascii="Corbel" w:hAnsi="Corbel" w:cs="Arial"/>
          <w:sz w:val="26"/>
          <w:szCs w:val="26"/>
          <w:u w:val="none"/>
        </w:rPr>
        <w:t xml:space="preserve">- </w:t>
      </w:r>
      <w:r w:rsidR="007B135B" w:rsidRPr="00796AF2">
        <w:rPr>
          <w:rFonts w:ascii="Corbel" w:hAnsi="Corbel" w:cs="Arial"/>
          <w:sz w:val="26"/>
          <w:szCs w:val="26"/>
          <w:u w:val="none"/>
        </w:rPr>
        <w:t>that the consumer has vocational rehabilitation needs that may well be barriers to competitive employment.</w:t>
      </w:r>
      <w:r w:rsidR="00796AF2">
        <w:rPr>
          <w:rFonts w:ascii="Corbel" w:hAnsi="Corbel" w:cs="Arial"/>
          <w:sz w:val="26"/>
          <w:szCs w:val="26"/>
          <w:u w:val="none"/>
        </w:rPr>
        <w:t xml:space="preserve"> </w:t>
      </w:r>
      <w:r w:rsidR="007B135B" w:rsidRPr="00E853D0">
        <w:rPr>
          <w:rFonts w:ascii="Corbel" w:hAnsi="Corbel" w:cs="Arial"/>
          <w:sz w:val="26"/>
          <w:szCs w:val="26"/>
          <w:u w:val="none"/>
        </w:rPr>
        <w:t xml:space="preserve">It would be expected that a consumer needing reader services </w:t>
      </w:r>
      <w:r w:rsidR="00014EE9" w:rsidRPr="00E853D0">
        <w:rPr>
          <w:rFonts w:ascii="Corbel" w:hAnsi="Corbel" w:cs="Arial"/>
          <w:sz w:val="26"/>
          <w:szCs w:val="26"/>
          <w:u w:val="none"/>
        </w:rPr>
        <w:t xml:space="preserve">may not be as proficient in the use of assistive technology to accomplish reading </w:t>
      </w:r>
      <w:r w:rsidR="008350D0">
        <w:rPr>
          <w:rFonts w:ascii="Corbel" w:hAnsi="Corbel" w:cs="Arial"/>
          <w:sz w:val="26"/>
          <w:szCs w:val="26"/>
          <w:u w:val="none"/>
        </w:rPr>
        <w:t>tasks</w:t>
      </w:r>
      <w:r w:rsidR="00014EE9" w:rsidRPr="00E853D0">
        <w:rPr>
          <w:rFonts w:ascii="Corbel" w:hAnsi="Corbel" w:cs="Arial"/>
          <w:sz w:val="26"/>
          <w:szCs w:val="26"/>
          <w:u w:val="none"/>
        </w:rPr>
        <w:t xml:space="preserve">. Also, these consumers </w:t>
      </w:r>
      <w:r w:rsidR="007B135B" w:rsidRPr="00E853D0">
        <w:rPr>
          <w:rFonts w:ascii="Corbel" w:hAnsi="Corbel" w:cs="Arial"/>
          <w:sz w:val="26"/>
          <w:szCs w:val="26"/>
          <w:u w:val="none"/>
        </w:rPr>
        <w:t xml:space="preserve">possibly </w:t>
      </w:r>
      <w:r w:rsidR="00014EE9" w:rsidRPr="00E853D0">
        <w:rPr>
          <w:rFonts w:ascii="Corbel" w:hAnsi="Corbel" w:cs="Arial"/>
          <w:sz w:val="26"/>
          <w:szCs w:val="26"/>
          <w:u w:val="none"/>
        </w:rPr>
        <w:t xml:space="preserve">may have </w:t>
      </w:r>
      <w:r w:rsidR="007B135B" w:rsidRPr="00E853D0">
        <w:rPr>
          <w:rFonts w:ascii="Corbel" w:hAnsi="Corbel" w:cs="Arial"/>
          <w:sz w:val="26"/>
          <w:szCs w:val="26"/>
          <w:u w:val="none"/>
        </w:rPr>
        <w:t xml:space="preserve">other significant disability factors that could </w:t>
      </w:r>
      <w:r w:rsidR="00FD021C" w:rsidRPr="00E853D0">
        <w:rPr>
          <w:rFonts w:ascii="Corbel" w:hAnsi="Corbel" w:cs="Arial"/>
          <w:sz w:val="26"/>
          <w:szCs w:val="26"/>
          <w:u w:val="none"/>
        </w:rPr>
        <w:t xml:space="preserve">make </w:t>
      </w:r>
      <w:r w:rsidR="007B135B" w:rsidRPr="00E853D0">
        <w:rPr>
          <w:rFonts w:ascii="Corbel" w:hAnsi="Corbel" w:cs="Arial"/>
          <w:sz w:val="26"/>
          <w:szCs w:val="26"/>
          <w:u w:val="none"/>
        </w:rPr>
        <w:t>competitive employment</w:t>
      </w:r>
      <w:r w:rsidR="00FD021C" w:rsidRPr="00E853D0">
        <w:rPr>
          <w:rFonts w:ascii="Corbel" w:hAnsi="Corbel" w:cs="Arial"/>
          <w:sz w:val="26"/>
          <w:szCs w:val="26"/>
          <w:u w:val="none"/>
        </w:rPr>
        <w:t xml:space="preserve"> more difficult to achieve</w:t>
      </w:r>
      <w:r w:rsidR="007B135B" w:rsidRPr="00E853D0">
        <w:rPr>
          <w:rFonts w:ascii="Corbel" w:hAnsi="Corbel" w:cs="Arial"/>
          <w:sz w:val="26"/>
          <w:szCs w:val="26"/>
          <w:u w:val="none"/>
        </w:rPr>
        <w:t>. Consumers needing interpreter services likely have significant dual sensory impairments that</w:t>
      </w:r>
      <w:r w:rsidR="00014EE9" w:rsidRPr="00E853D0">
        <w:rPr>
          <w:rFonts w:ascii="Corbel" w:hAnsi="Corbel" w:cs="Arial"/>
          <w:sz w:val="26"/>
          <w:szCs w:val="26"/>
          <w:u w:val="none"/>
        </w:rPr>
        <w:t>, if not adequately addressed</w:t>
      </w:r>
      <w:r w:rsidR="00BF7FAF" w:rsidRPr="00E853D0">
        <w:rPr>
          <w:rFonts w:ascii="Corbel" w:hAnsi="Corbel" w:cs="Arial"/>
          <w:sz w:val="26"/>
          <w:szCs w:val="26"/>
          <w:u w:val="none"/>
        </w:rPr>
        <w:t>,</w:t>
      </w:r>
      <w:r w:rsidR="007B135B" w:rsidRPr="00E853D0">
        <w:rPr>
          <w:rFonts w:ascii="Corbel" w:hAnsi="Corbel" w:cs="Arial"/>
          <w:sz w:val="26"/>
          <w:szCs w:val="26"/>
          <w:u w:val="none"/>
        </w:rPr>
        <w:t xml:space="preserve"> </w:t>
      </w:r>
      <w:r w:rsidR="00FD021C" w:rsidRPr="00E853D0">
        <w:rPr>
          <w:rFonts w:ascii="Corbel" w:hAnsi="Corbel" w:cs="Arial"/>
          <w:sz w:val="26"/>
          <w:szCs w:val="26"/>
          <w:u w:val="none"/>
        </w:rPr>
        <w:t xml:space="preserve">also could </w:t>
      </w:r>
      <w:r w:rsidR="007B135B" w:rsidRPr="00E853D0">
        <w:rPr>
          <w:rFonts w:ascii="Corbel" w:hAnsi="Corbel" w:cs="Arial"/>
          <w:sz w:val="26"/>
          <w:szCs w:val="26"/>
          <w:u w:val="none"/>
        </w:rPr>
        <w:t>be a substantial barrier to competitive employment.</w:t>
      </w:r>
    </w:p>
    <w:p w14:paraId="26E9E1CC" w14:textId="1A103F46" w:rsidR="00055A4C" w:rsidRPr="00E853D0" w:rsidRDefault="001A289C" w:rsidP="00E672C6">
      <w:pPr>
        <w:pStyle w:val="ListParagraph"/>
        <w:numPr>
          <w:ilvl w:val="0"/>
          <w:numId w:val="13"/>
        </w:numPr>
        <w:ind w:left="360"/>
        <w:rPr>
          <w:rFonts w:ascii="Corbel" w:hAnsi="Corbel" w:cs="Arial"/>
          <w:sz w:val="26"/>
          <w:szCs w:val="26"/>
          <w:u w:val="none"/>
        </w:rPr>
      </w:pPr>
      <w:r w:rsidRPr="008F0739">
        <w:rPr>
          <w:rFonts w:ascii="Corbel" w:hAnsi="Corbel" w:cs="Arial"/>
          <w:sz w:val="26"/>
          <w:szCs w:val="26"/>
          <w:u w:val="none"/>
        </w:rPr>
        <w:t>Job-</w:t>
      </w:r>
      <w:r w:rsidR="002B3636" w:rsidRPr="008F0739">
        <w:rPr>
          <w:rFonts w:ascii="Corbel" w:hAnsi="Corbel" w:cs="Arial"/>
          <w:sz w:val="26"/>
          <w:szCs w:val="26"/>
          <w:u w:val="none"/>
        </w:rPr>
        <w:t>related services</w:t>
      </w:r>
      <w:r w:rsidRPr="008F0739">
        <w:rPr>
          <w:rFonts w:ascii="Corbel" w:hAnsi="Corbel" w:cs="Arial"/>
          <w:sz w:val="26"/>
          <w:szCs w:val="26"/>
          <w:u w:val="none"/>
        </w:rPr>
        <w:t xml:space="preserve">, such as job placement, </w:t>
      </w:r>
      <w:r w:rsidR="009C3812" w:rsidRPr="008F0739">
        <w:rPr>
          <w:rFonts w:ascii="Corbel" w:hAnsi="Corbel" w:cs="Arial"/>
          <w:sz w:val="26"/>
          <w:szCs w:val="26"/>
          <w:u w:val="none"/>
        </w:rPr>
        <w:t xml:space="preserve">job </w:t>
      </w:r>
      <w:r w:rsidRPr="008F0739">
        <w:rPr>
          <w:rFonts w:ascii="Corbel" w:hAnsi="Corbel" w:cs="Arial"/>
          <w:sz w:val="26"/>
          <w:szCs w:val="26"/>
          <w:u w:val="none"/>
        </w:rPr>
        <w:t>search, on-the-job supports, and on-the-job training, were strongly related to competitive employment closure.</w:t>
      </w:r>
      <w:r w:rsidRPr="00E853D0">
        <w:rPr>
          <w:rFonts w:ascii="Corbel" w:hAnsi="Corbel" w:cs="Arial"/>
          <w:sz w:val="26"/>
          <w:szCs w:val="26"/>
          <w:u w:val="none"/>
        </w:rPr>
        <w:br/>
        <w:t xml:space="preserve">Although these effects were some of the strongest in the research, using receipt of these services to predict competitive employment is </w:t>
      </w:r>
      <w:r w:rsidR="0013561D" w:rsidRPr="00E853D0">
        <w:rPr>
          <w:rFonts w:ascii="Corbel" w:hAnsi="Corbel" w:cs="Arial"/>
          <w:sz w:val="26"/>
          <w:szCs w:val="26"/>
          <w:u w:val="none"/>
        </w:rPr>
        <w:t xml:space="preserve">rather </w:t>
      </w:r>
      <w:r w:rsidR="001C58DE" w:rsidRPr="00E853D0">
        <w:rPr>
          <w:rFonts w:ascii="Corbel" w:hAnsi="Corbel" w:cs="Arial"/>
          <w:sz w:val="26"/>
          <w:szCs w:val="26"/>
          <w:u w:val="none"/>
        </w:rPr>
        <w:t>obvious.</w:t>
      </w:r>
      <w:r w:rsidR="00055A4C" w:rsidRPr="00E853D0">
        <w:rPr>
          <w:rFonts w:ascii="Corbel" w:hAnsi="Corbel" w:cs="Arial"/>
          <w:sz w:val="26"/>
          <w:szCs w:val="26"/>
          <w:u w:val="none"/>
        </w:rPr>
        <w:t xml:space="preserve"> </w:t>
      </w:r>
      <w:r w:rsidR="00004FE1" w:rsidRPr="00E853D0">
        <w:rPr>
          <w:rFonts w:ascii="Corbel" w:hAnsi="Corbel" w:cs="Arial"/>
          <w:sz w:val="26"/>
          <w:szCs w:val="26"/>
          <w:u w:val="none"/>
        </w:rPr>
        <w:t>These services are provided toward the conclusion of the rehabilitation process, indicating the consumer has had success in preparing for employment.</w:t>
      </w:r>
      <w:r w:rsidR="001C58DE" w:rsidRPr="00E853D0">
        <w:rPr>
          <w:rFonts w:ascii="Corbel" w:hAnsi="Corbel" w:cs="Arial"/>
          <w:sz w:val="26"/>
          <w:szCs w:val="26"/>
          <w:u w:val="none"/>
        </w:rPr>
        <w:t xml:space="preserve"> </w:t>
      </w:r>
      <w:r w:rsidR="00055A4C" w:rsidRPr="00E853D0">
        <w:rPr>
          <w:rFonts w:ascii="Corbel" w:hAnsi="Corbel" w:cs="Arial"/>
          <w:sz w:val="26"/>
          <w:szCs w:val="26"/>
          <w:u w:val="none"/>
        </w:rPr>
        <w:t>Consum</w:t>
      </w:r>
      <w:r w:rsidRPr="00E853D0">
        <w:rPr>
          <w:rFonts w:ascii="Corbel" w:hAnsi="Corbel" w:cs="Arial"/>
          <w:sz w:val="26"/>
          <w:szCs w:val="26"/>
          <w:u w:val="none"/>
        </w:rPr>
        <w:t>ers</w:t>
      </w:r>
      <w:r w:rsidR="00055A4C" w:rsidRPr="00E853D0">
        <w:rPr>
          <w:rFonts w:ascii="Corbel" w:hAnsi="Corbel" w:cs="Arial"/>
          <w:sz w:val="26"/>
          <w:szCs w:val="26"/>
          <w:u w:val="none"/>
        </w:rPr>
        <w:t xml:space="preserve"> who are </w:t>
      </w:r>
      <w:proofErr w:type="gramStart"/>
      <w:r w:rsidR="00055A4C" w:rsidRPr="00E853D0">
        <w:rPr>
          <w:rFonts w:ascii="Corbel" w:hAnsi="Corbel" w:cs="Arial"/>
          <w:sz w:val="26"/>
          <w:szCs w:val="26"/>
          <w:u w:val="none"/>
        </w:rPr>
        <w:t>in a position</w:t>
      </w:r>
      <w:proofErr w:type="gramEnd"/>
      <w:r w:rsidR="00055A4C" w:rsidRPr="00E853D0">
        <w:rPr>
          <w:rFonts w:ascii="Corbel" w:hAnsi="Corbel" w:cs="Arial"/>
          <w:sz w:val="26"/>
          <w:szCs w:val="26"/>
          <w:u w:val="none"/>
        </w:rPr>
        <w:t xml:space="preserve"> to </w:t>
      </w:r>
      <w:r w:rsidR="00004FE1" w:rsidRPr="00E853D0">
        <w:rPr>
          <w:rFonts w:ascii="Corbel" w:hAnsi="Corbel" w:cs="Arial"/>
          <w:sz w:val="26"/>
          <w:szCs w:val="26"/>
          <w:u w:val="none"/>
        </w:rPr>
        <w:t xml:space="preserve">benefit from </w:t>
      </w:r>
      <w:r w:rsidR="00055A4C" w:rsidRPr="00E853D0">
        <w:rPr>
          <w:rFonts w:ascii="Corbel" w:hAnsi="Corbel" w:cs="Arial"/>
          <w:sz w:val="26"/>
          <w:szCs w:val="26"/>
          <w:u w:val="none"/>
        </w:rPr>
        <w:t>job-placement, for example</w:t>
      </w:r>
      <w:r w:rsidR="00754C54" w:rsidRPr="00E853D0">
        <w:rPr>
          <w:rFonts w:ascii="Corbel" w:hAnsi="Corbel" w:cs="Arial"/>
          <w:sz w:val="26"/>
          <w:szCs w:val="26"/>
          <w:u w:val="none"/>
        </w:rPr>
        <w:t>, are “</w:t>
      </w:r>
      <w:r w:rsidR="002570B9">
        <w:rPr>
          <w:rFonts w:ascii="Corbel" w:hAnsi="Corbel" w:cs="Arial"/>
          <w:sz w:val="26"/>
          <w:szCs w:val="26"/>
          <w:u w:val="none"/>
        </w:rPr>
        <w:t>work</w:t>
      </w:r>
      <w:r w:rsidR="00754C54" w:rsidRPr="00E853D0">
        <w:rPr>
          <w:rFonts w:ascii="Corbel" w:hAnsi="Corbel" w:cs="Arial"/>
          <w:sz w:val="26"/>
          <w:szCs w:val="26"/>
          <w:u w:val="none"/>
        </w:rPr>
        <w:t xml:space="preserve"> ready” and thus </w:t>
      </w:r>
      <w:r w:rsidR="002B3636" w:rsidRPr="00E853D0">
        <w:rPr>
          <w:rFonts w:ascii="Corbel" w:hAnsi="Corbel" w:cs="Arial"/>
          <w:sz w:val="26"/>
          <w:szCs w:val="26"/>
          <w:u w:val="none"/>
        </w:rPr>
        <w:t xml:space="preserve">expected </w:t>
      </w:r>
      <w:r w:rsidR="00055A4C" w:rsidRPr="00E853D0">
        <w:rPr>
          <w:rFonts w:ascii="Corbel" w:hAnsi="Corbel" w:cs="Arial"/>
          <w:sz w:val="26"/>
          <w:szCs w:val="26"/>
          <w:u w:val="none"/>
        </w:rPr>
        <w:t xml:space="preserve">to </w:t>
      </w:r>
      <w:r w:rsidR="002B3636" w:rsidRPr="00E853D0">
        <w:rPr>
          <w:rFonts w:ascii="Corbel" w:hAnsi="Corbel" w:cs="Arial"/>
          <w:sz w:val="26"/>
          <w:szCs w:val="26"/>
          <w:u w:val="none"/>
        </w:rPr>
        <w:t xml:space="preserve">soon </w:t>
      </w:r>
      <w:r w:rsidR="00754C54" w:rsidRPr="00E853D0">
        <w:rPr>
          <w:rFonts w:ascii="Corbel" w:hAnsi="Corbel" w:cs="Arial"/>
          <w:sz w:val="26"/>
          <w:szCs w:val="26"/>
          <w:u w:val="none"/>
        </w:rPr>
        <w:t>achieve e</w:t>
      </w:r>
      <w:r w:rsidR="00055A4C" w:rsidRPr="00E853D0">
        <w:rPr>
          <w:rFonts w:ascii="Corbel" w:hAnsi="Corbel" w:cs="Arial"/>
          <w:sz w:val="26"/>
          <w:szCs w:val="26"/>
          <w:u w:val="none"/>
        </w:rPr>
        <w:t xml:space="preserve">mployment. </w:t>
      </w:r>
    </w:p>
    <w:p w14:paraId="60A896CD" w14:textId="77777777" w:rsidR="005053DD" w:rsidRPr="005053DD" w:rsidRDefault="007B0496" w:rsidP="00836EF9">
      <w:pPr>
        <w:pStyle w:val="ListParagraph"/>
        <w:numPr>
          <w:ilvl w:val="0"/>
          <w:numId w:val="13"/>
        </w:numPr>
        <w:ind w:left="360"/>
        <w:rPr>
          <w:rFonts w:ascii="Corbel" w:hAnsi="Corbel"/>
          <w:sz w:val="26"/>
          <w:szCs w:val="26"/>
        </w:rPr>
      </w:pPr>
      <w:r w:rsidRPr="005053DD">
        <w:rPr>
          <w:rFonts w:ascii="Corbel" w:hAnsi="Corbel" w:cs="Arial"/>
          <w:sz w:val="26"/>
          <w:szCs w:val="26"/>
          <w:u w:val="none"/>
        </w:rPr>
        <w:t xml:space="preserve">Job-related services are even more important for achieving competitive employment when (a) the state unemployment rate is higher and (b) the state per </w:t>
      </w:r>
      <w:r w:rsidRPr="005053DD">
        <w:rPr>
          <w:rFonts w:ascii="Corbel" w:hAnsi="Corbel" w:cs="Arial"/>
          <w:sz w:val="26"/>
          <w:szCs w:val="26"/>
          <w:u w:val="none"/>
        </w:rPr>
        <w:lastRenderedPageBreak/>
        <w:t>capita income is higher.</w:t>
      </w:r>
      <w:r w:rsidR="008F0739" w:rsidRPr="005053DD">
        <w:rPr>
          <w:rFonts w:ascii="Corbel" w:hAnsi="Corbel" w:cs="Arial"/>
          <w:sz w:val="26"/>
          <w:szCs w:val="26"/>
          <w:u w:val="none"/>
        </w:rPr>
        <w:t xml:space="preserve"> </w:t>
      </w:r>
      <w:r w:rsidRPr="005053DD">
        <w:rPr>
          <w:rFonts w:ascii="Corbel" w:hAnsi="Corbel" w:cs="Arial"/>
          <w:sz w:val="26"/>
          <w:szCs w:val="26"/>
          <w:u w:val="none"/>
        </w:rPr>
        <w:t xml:space="preserve">The research supports the logical idea that job-related services are even more critically </w:t>
      </w:r>
      <w:r w:rsidR="00130F74" w:rsidRPr="005053DD">
        <w:rPr>
          <w:rFonts w:ascii="Corbel" w:hAnsi="Corbel" w:cs="Arial"/>
          <w:sz w:val="26"/>
          <w:szCs w:val="26"/>
          <w:u w:val="none"/>
        </w:rPr>
        <w:t>important when there is increased competition for jobs (high unemployment rate) and the jobs may be more lucrative. In such an environment, BVI consumer</w:t>
      </w:r>
      <w:r w:rsidR="00C46A09" w:rsidRPr="005053DD">
        <w:rPr>
          <w:rFonts w:ascii="Corbel" w:hAnsi="Corbel" w:cs="Arial"/>
          <w:sz w:val="26"/>
          <w:szCs w:val="26"/>
          <w:u w:val="none"/>
        </w:rPr>
        <w:t>s</w:t>
      </w:r>
      <w:r w:rsidR="00130F74" w:rsidRPr="005053DD">
        <w:rPr>
          <w:rFonts w:ascii="Corbel" w:hAnsi="Corbel" w:cs="Arial"/>
          <w:sz w:val="26"/>
          <w:szCs w:val="26"/>
          <w:u w:val="none"/>
        </w:rPr>
        <w:t xml:space="preserve"> </w:t>
      </w:r>
      <w:r w:rsidR="001C58DE" w:rsidRPr="005053DD">
        <w:rPr>
          <w:rFonts w:ascii="Corbel" w:hAnsi="Corbel" w:cs="Arial"/>
          <w:sz w:val="26"/>
          <w:szCs w:val="26"/>
          <w:u w:val="none"/>
        </w:rPr>
        <w:t xml:space="preserve">may </w:t>
      </w:r>
      <w:r w:rsidR="00D126EB" w:rsidRPr="005053DD">
        <w:rPr>
          <w:rFonts w:ascii="Corbel" w:hAnsi="Corbel" w:cs="Arial"/>
          <w:sz w:val="26"/>
          <w:szCs w:val="26"/>
          <w:u w:val="none"/>
        </w:rPr>
        <w:t xml:space="preserve">require more direct assistance </w:t>
      </w:r>
      <w:r w:rsidR="001C58DE" w:rsidRPr="005053DD">
        <w:rPr>
          <w:rFonts w:ascii="Corbel" w:hAnsi="Corbel" w:cs="Arial"/>
          <w:sz w:val="26"/>
          <w:szCs w:val="26"/>
          <w:u w:val="none"/>
        </w:rPr>
        <w:t>obtaining a job</w:t>
      </w:r>
      <w:r w:rsidR="00130F74" w:rsidRPr="005053DD">
        <w:rPr>
          <w:rFonts w:ascii="Corbel" w:hAnsi="Corbel" w:cs="Arial"/>
          <w:sz w:val="26"/>
          <w:szCs w:val="26"/>
          <w:u w:val="none"/>
        </w:rPr>
        <w:t>.</w:t>
      </w:r>
      <w:r w:rsidR="007F7144" w:rsidRPr="005053DD">
        <w:rPr>
          <w:rFonts w:ascii="Corbel" w:hAnsi="Corbel" w:cs="Arial"/>
          <w:sz w:val="26"/>
          <w:szCs w:val="26"/>
          <w:u w:val="none"/>
        </w:rPr>
        <w:t xml:space="preserve"> </w:t>
      </w:r>
    </w:p>
    <w:p w14:paraId="0A35D292" w14:textId="31F35FA2" w:rsidR="004C3390" w:rsidRPr="005053DD" w:rsidRDefault="00055A4C" w:rsidP="00836EF9">
      <w:pPr>
        <w:pStyle w:val="ListParagraph"/>
        <w:numPr>
          <w:ilvl w:val="0"/>
          <w:numId w:val="13"/>
        </w:numPr>
        <w:ind w:left="360"/>
        <w:rPr>
          <w:rFonts w:ascii="Corbel" w:hAnsi="Corbel"/>
          <w:sz w:val="26"/>
          <w:szCs w:val="26"/>
        </w:rPr>
      </w:pPr>
      <w:r w:rsidRPr="005053DD">
        <w:rPr>
          <w:rFonts w:ascii="Corbel" w:hAnsi="Corbel" w:cs="Arial"/>
          <w:sz w:val="26"/>
          <w:szCs w:val="26"/>
          <w:u w:val="none"/>
        </w:rPr>
        <w:t>Receiving job readiness training was negatively related to competitive employment</w:t>
      </w:r>
      <w:r w:rsidR="003F4A55" w:rsidRPr="005053DD">
        <w:rPr>
          <w:rFonts w:ascii="Corbel" w:hAnsi="Corbel" w:cs="Arial"/>
          <w:sz w:val="26"/>
          <w:szCs w:val="26"/>
          <w:u w:val="none"/>
        </w:rPr>
        <w:t xml:space="preserve"> and thus serves as a risk indicator.</w:t>
      </w:r>
      <w:r w:rsidR="00194875" w:rsidRPr="005053DD">
        <w:rPr>
          <w:rFonts w:ascii="Corbel" w:hAnsi="Corbel" w:cs="Arial"/>
          <w:sz w:val="26"/>
          <w:szCs w:val="26"/>
          <w:u w:val="none"/>
        </w:rPr>
        <w:t xml:space="preserve"> </w:t>
      </w:r>
      <w:r w:rsidR="003F4A55" w:rsidRPr="005053DD">
        <w:rPr>
          <w:rFonts w:ascii="Corbel" w:hAnsi="Corbel" w:cs="Arial"/>
          <w:sz w:val="26"/>
          <w:szCs w:val="26"/>
          <w:u w:val="none"/>
        </w:rPr>
        <w:t xml:space="preserve">Consumers needing and receiving job readiness training are </w:t>
      </w:r>
      <w:r w:rsidR="004E2B07" w:rsidRPr="005053DD">
        <w:rPr>
          <w:rFonts w:ascii="Corbel" w:hAnsi="Corbel" w:cs="Arial"/>
          <w:sz w:val="26"/>
          <w:szCs w:val="26"/>
          <w:u w:val="none"/>
        </w:rPr>
        <w:t>most likely</w:t>
      </w:r>
      <w:r w:rsidR="003F4A55" w:rsidRPr="005053DD">
        <w:rPr>
          <w:rFonts w:ascii="Corbel" w:hAnsi="Corbel" w:cs="Arial"/>
          <w:sz w:val="26"/>
          <w:szCs w:val="26"/>
          <w:u w:val="none"/>
        </w:rPr>
        <w:t xml:space="preserve"> at an early stage in the progression of skill development for </w:t>
      </w:r>
      <w:r w:rsidR="0046593E" w:rsidRPr="005053DD">
        <w:rPr>
          <w:rFonts w:ascii="Corbel" w:hAnsi="Corbel" w:cs="Arial"/>
          <w:sz w:val="26"/>
          <w:szCs w:val="26"/>
          <w:u w:val="none"/>
        </w:rPr>
        <w:t>competitive employment</w:t>
      </w:r>
      <w:r w:rsidR="00E56448" w:rsidRPr="005053DD">
        <w:rPr>
          <w:rFonts w:ascii="Corbel" w:hAnsi="Corbel" w:cs="Arial"/>
          <w:sz w:val="26"/>
          <w:szCs w:val="26"/>
          <w:u w:val="none"/>
        </w:rPr>
        <w:t xml:space="preserve">. They potentially need </w:t>
      </w:r>
      <w:r w:rsidR="00C46A09" w:rsidRPr="005053DD">
        <w:rPr>
          <w:rFonts w:ascii="Corbel" w:hAnsi="Corbel" w:cs="Arial"/>
          <w:sz w:val="26"/>
          <w:szCs w:val="26"/>
          <w:u w:val="none"/>
        </w:rPr>
        <w:t xml:space="preserve">a </w:t>
      </w:r>
      <w:r w:rsidR="00E56448" w:rsidRPr="005053DD">
        <w:rPr>
          <w:rFonts w:ascii="Corbel" w:hAnsi="Corbel" w:cs="Arial"/>
          <w:sz w:val="26"/>
          <w:szCs w:val="26"/>
          <w:u w:val="none"/>
        </w:rPr>
        <w:t xml:space="preserve">longer time to move through the rehabilitation process. For these reasons they </w:t>
      </w:r>
      <w:r w:rsidR="003F4A55" w:rsidRPr="005053DD">
        <w:rPr>
          <w:rFonts w:ascii="Corbel" w:hAnsi="Corbel" w:cs="Arial"/>
          <w:sz w:val="26"/>
          <w:szCs w:val="26"/>
          <w:u w:val="none"/>
        </w:rPr>
        <w:t>generally are “at risk” (not yet good candida</w:t>
      </w:r>
      <w:r w:rsidR="00713108" w:rsidRPr="005053DD">
        <w:rPr>
          <w:rFonts w:ascii="Corbel" w:hAnsi="Corbel" w:cs="Arial"/>
          <w:sz w:val="26"/>
          <w:szCs w:val="26"/>
          <w:u w:val="none"/>
        </w:rPr>
        <w:t>tes) for a competitive outcome.</w:t>
      </w:r>
    </w:p>
    <w:p w14:paraId="4DDBDB72" w14:textId="32B18010" w:rsidR="00F745DC" w:rsidRPr="00E853D0" w:rsidRDefault="004E2B07" w:rsidP="00E672C6">
      <w:pPr>
        <w:pStyle w:val="ListParagraph"/>
        <w:numPr>
          <w:ilvl w:val="0"/>
          <w:numId w:val="13"/>
        </w:numPr>
        <w:ind w:left="360"/>
        <w:rPr>
          <w:rFonts w:ascii="Corbel" w:hAnsi="Corbel" w:cs="Arial"/>
          <w:sz w:val="26"/>
          <w:szCs w:val="26"/>
        </w:rPr>
      </w:pPr>
      <w:r w:rsidRPr="008F0739">
        <w:rPr>
          <w:rFonts w:ascii="Corbel" w:hAnsi="Corbel" w:cs="Arial"/>
          <w:sz w:val="26"/>
          <w:szCs w:val="26"/>
          <w:u w:val="none"/>
        </w:rPr>
        <w:t xml:space="preserve">Receiving </w:t>
      </w:r>
      <w:r w:rsidR="00036321" w:rsidRPr="008F0739">
        <w:rPr>
          <w:rFonts w:ascii="Corbel" w:hAnsi="Corbel" w:cs="Arial"/>
          <w:sz w:val="26"/>
          <w:szCs w:val="26"/>
          <w:u w:val="none"/>
        </w:rPr>
        <w:t xml:space="preserve">the service of </w:t>
      </w:r>
      <w:r w:rsidRPr="008F0739">
        <w:rPr>
          <w:rFonts w:ascii="Corbel" w:hAnsi="Corbel" w:cs="Arial"/>
          <w:sz w:val="26"/>
          <w:szCs w:val="26"/>
          <w:u w:val="none"/>
        </w:rPr>
        <w:t>VR counseling and guidance was positively associated with a competitive employment closure.</w:t>
      </w:r>
      <w:r w:rsidR="000014C0">
        <w:rPr>
          <w:rFonts w:ascii="Corbel" w:hAnsi="Corbel" w:cs="Arial"/>
          <w:sz w:val="26"/>
          <w:szCs w:val="26"/>
          <w:u w:val="none"/>
        </w:rPr>
        <w:t xml:space="preserve"> </w:t>
      </w:r>
      <w:r w:rsidRPr="00E853D0">
        <w:rPr>
          <w:rFonts w:ascii="Corbel" w:hAnsi="Corbel" w:cs="Arial"/>
          <w:sz w:val="26"/>
          <w:szCs w:val="26"/>
          <w:u w:val="none"/>
        </w:rPr>
        <w:t xml:space="preserve">Persons receiving this service have </w:t>
      </w:r>
      <w:r w:rsidR="00E20313" w:rsidRPr="00E853D0">
        <w:rPr>
          <w:rFonts w:ascii="Corbel" w:hAnsi="Corbel" w:cs="Arial"/>
          <w:sz w:val="26"/>
          <w:szCs w:val="26"/>
          <w:u w:val="none"/>
        </w:rPr>
        <w:t xml:space="preserve">about 32% greater likelihood of competitive </w:t>
      </w:r>
      <w:r w:rsidRPr="00E853D0">
        <w:rPr>
          <w:rFonts w:ascii="Corbel" w:hAnsi="Corbel" w:cs="Arial"/>
          <w:sz w:val="26"/>
          <w:szCs w:val="26"/>
          <w:u w:val="none"/>
        </w:rPr>
        <w:t>employment than those not receiving the service.</w:t>
      </w:r>
    </w:p>
    <w:p w14:paraId="067E706F" w14:textId="5ADEC09D" w:rsidR="00184A79" w:rsidRPr="00E853D0" w:rsidRDefault="00204F1C" w:rsidP="00E672C6">
      <w:pPr>
        <w:pStyle w:val="ListParagraph"/>
        <w:numPr>
          <w:ilvl w:val="0"/>
          <w:numId w:val="13"/>
        </w:numPr>
        <w:ind w:left="360"/>
        <w:rPr>
          <w:rFonts w:ascii="Corbel" w:hAnsi="Corbel" w:cs="Arial"/>
          <w:sz w:val="26"/>
          <w:szCs w:val="26"/>
        </w:rPr>
      </w:pPr>
      <w:r w:rsidRPr="008F0739">
        <w:rPr>
          <w:rFonts w:ascii="Corbel" w:hAnsi="Corbel" w:cs="Arial"/>
          <w:sz w:val="26"/>
          <w:szCs w:val="26"/>
          <w:u w:val="none"/>
        </w:rPr>
        <w:t xml:space="preserve">Receiving </w:t>
      </w:r>
      <w:r w:rsidR="009375EF">
        <w:rPr>
          <w:rFonts w:ascii="Corbel" w:hAnsi="Corbel" w:cs="Arial"/>
          <w:sz w:val="26"/>
          <w:szCs w:val="26"/>
          <w:u w:val="none"/>
        </w:rPr>
        <w:t>a</w:t>
      </w:r>
      <w:r w:rsidRPr="008F0739">
        <w:rPr>
          <w:rFonts w:ascii="Corbel" w:hAnsi="Corbel" w:cs="Arial"/>
          <w:sz w:val="26"/>
          <w:szCs w:val="26"/>
          <w:u w:val="none"/>
        </w:rPr>
        <w:t xml:space="preserve">ssessment </w:t>
      </w:r>
      <w:r w:rsidR="00F745DC" w:rsidRPr="008F0739">
        <w:rPr>
          <w:rFonts w:ascii="Corbel" w:hAnsi="Corbel" w:cs="Arial"/>
          <w:sz w:val="26"/>
          <w:szCs w:val="26"/>
          <w:u w:val="none"/>
        </w:rPr>
        <w:t xml:space="preserve">was negatively related to competitive employment outcome and serves as a risk indicator. </w:t>
      </w:r>
      <w:r w:rsidR="003E3BE9" w:rsidRPr="00E853D0">
        <w:rPr>
          <w:rFonts w:ascii="Corbel" w:hAnsi="Corbel" w:cs="Arial"/>
          <w:sz w:val="26"/>
          <w:szCs w:val="26"/>
          <w:u w:val="none"/>
        </w:rPr>
        <w:t xml:space="preserve">Those receiving assessment services have about </w:t>
      </w:r>
      <w:r w:rsidR="002F4E30" w:rsidRPr="00E853D0">
        <w:rPr>
          <w:rFonts w:ascii="Corbel" w:hAnsi="Corbel" w:cs="Arial"/>
          <w:sz w:val="26"/>
          <w:szCs w:val="26"/>
          <w:u w:val="none"/>
        </w:rPr>
        <w:t xml:space="preserve">a </w:t>
      </w:r>
      <w:r w:rsidR="003E3BE9" w:rsidRPr="00E853D0">
        <w:rPr>
          <w:rFonts w:ascii="Corbel" w:hAnsi="Corbel" w:cs="Arial"/>
          <w:sz w:val="26"/>
          <w:szCs w:val="26"/>
          <w:u w:val="none"/>
        </w:rPr>
        <w:t xml:space="preserve">34% lower likelihood of competitive employment than those not </w:t>
      </w:r>
      <w:r w:rsidR="00713108">
        <w:rPr>
          <w:rFonts w:ascii="Corbel" w:hAnsi="Corbel" w:cs="Arial"/>
          <w:sz w:val="26"/>
          <w:szCs w:val="26"/>
          <w:u w:val="none"/>
        </w:rPr>
        <w:t>receiving this type of service.</w:t>
      </w:r>
    </w:p>
    <w:p w14:paraId="3BABFD2F" w14:textId="6EED3919" w:rsidR="001425E9" w:rsidRPr="00E853D0" w:rsidRDefault="009375EF" w:rsidP="00E672C6">
      <w:pPr>
        <w:pStyle w:val="ListParagraph"/>
        <w:numPr>
          <w:ilvl w:val="0"/>
          <w:numId w:val="13"/>
        </w:numPr>
        <w:ind w:left="360"/>
        <w:rPr>
          <w:rFonts w:ascii="Corbel" w:hAnsi="Corbel" w:cs="Arial"/>
          <w:sz w:val="26"/>
          <w:szCs w:val="26"/>
        </w:rPr>
      </w:pPr>
      <w:r>
        <w:rPr>
          <w:rFonts w:ascii="Corbel" w:hAnsi="Corbel" w:cs="Arial"/>
          <w:sz w:val="26"/>
          <w:szCs w:val="26"/>
          <w:u w:val="none"/>
        </w:rPr>
        <w:t>Receiving r</w:t>
      </w:r>
      <w:r w:rsidR="00204F1C" w:rsidRPr="008F0739">
        <w:rPr>
          <w:rFonts w:ascii="Corbel" w:hAnsi="Corbel" w:cs="Arial"/>
          <w:sz w:val="26"/>
          <w:szCs w:val="26"/>
          <w:u w:val="none"/>
        </w:rPr>
        <w:t xml:space="preserve">ehabilitation </w:t>
      </w:r>
      <w:r>
        <w:rPr>
          <w:rFonts w:ascii="Corbel" w:hAnsi="Corbel" w:cs="Arial"/>
          <w:sz w:val="26"/>
          <w:szCs w:val="26"/>
          <w:u w:val="none"/>
        </w:rPr>
        <w:t>t</w:t>
      </w:r>
      <w:r w:rsidR="00184A79" w:rsidRPr="008F0739">
        <w:rPr>
          <w:rFonts w:ascii="Corbel" w:hAnsi="Corbel" w:cs="Arial"/>
          <w:sz w:val="26"/>
          <w:szCs w:val="26"/>
          <w:u w:val="none"/>
        </w:rPr>
        <w:t>echnology</w:t>
      </w:r>
      <w:r>
        <w:rPr>
          <w:rFonts w:ascii="Corbel" w:hAnsi="Corbel" w:cs="Arial"/>
          <w:sz w:val="26"/>
          <w:szCs w:val="26"/>
          <w:u w:val="none"/>
        </w:rPr>
        <w:t>/a</w:t>
      </w:r>
      <w:r w:rsidR="00DD1023" w:rsidRPr="008F0739">
        <w:rPr>
          <w:rFonts w:ascii="Corbel" w:hAnsi="Corbel" w:cs="Arial"/>
          <w:sz w:val="26"/>
          <w:szCs w:val="26"/>
          <w:u w:val="none"/>
        </w:rPr>
        <w:t xml:space="preserve">ssistive </w:t>
      </w:r>
      <w:r>
        <w:rPr>
          <w:rFonts w:ascii="Corbel" w:hAnsi="Corbel" w:cs="Arial"/>
          <w:sz w:val="26"/>
          <w:szCs w:val="26"/>
          <w:u w:val="none"/>
        </w:rPr>
        <w:t>t</w:t>
      </w:r>
      <w:r w:rsidR="00DD1023" w:rsidRPr="008F0739">
        <w:rPr>
          <w:rFonts w:ascii="Corbel" w:hAnsi="Corbel" w:cs="Arial"/>
          <w:sz w:val="26"/>
          <w:szCs w:val="26"/>
          <w:u w:val="none"/>
        </w:rPr>
        <w:t>echnology</w:t>
      </w:r>
      <w:r w:rsidR="00184A79" w:rsidRPr="008F0739">
        <w:rPr>
          <w:rFonts w:ascii="Corbel" w:hAnsi="Corbel" w:cs="Arial"/>
          <w:sz w:val="26"/>
          <w:szCs w:val="26"/>
          <w:u w:val="none"/>
        </w:rPr>
        <w:t xml:space="preserve"> services (in the Training and Sup</w:t>
      </w:r>
      <w:r w:rsidR="001425E9" w:rsidRPr="008F0739">
        <w:rPr>
          <w:rFonts w:ascii="Corbel" w:hAnsi="Corbel" w:cs="Arial"/>
          <w:sz w:val="26"/>
          <w:szCs w:val="26"/>
          <w:u w:val="none"/>
        </w:rPr>
        <w:t>ports grouping) was strongly</w:t>
      </w:r>
      <w:r w:rsidR="00184A79" w:rsidRPr="008F0739">
        <w:rPr>
          <w:rFonts w:ascii="Corbel" w:hAnsi="Corbel" w:cs="Arial"/>
          <w:sz w:val="26"/>
          <w:szCs w:val="26"/>
          <w:u w:val="none"/>
        </w:rPr>
        <w:t xml:space="preserve"> positively related to competitive employment.</w:t>
      </w:r>
      <w:r w:rsidR="00184A79" w:rsidRPr="009375EF">
        <w:rPr>
          <w:rFonts w:ascii="Corbel" w:hAnsi="Corbel" w:cs="Arial"/>
          <w:sz w:val="26"/>
          <w:szCs w:val="26"/>
          <w:u w:val="none"/>
        </w:rPr>
        <w:t xml:space="preserve"> </w:t>
      </w:r>
      <w:r w:rsidR="00032457" w:rsidRPr="00E853D0">
        <w:rPr>
          <w:rFonts w:ascii="Corbel" w:hAnsi="Corbel" w:cs="Arial"/>
          <w:sz w:val="26"/>
          <w:szCs w:val="26"/>
          <w:u w:val="none"/>
        </w:rPr>
        <w:t>Consumers receiving this service had their likelihood of competitive employment double (100% increase in odds) compared to those not receiving the service.</w:t>
      </w:r>
    </w:p>
    <w:p w14:paraId="501CCA04" w14:textId="1DB45DCF" w:rsidR="00A103E9" w:rsidRPr="00E853D0" w:rsidRDefault="001425E9" w:rsidP="00E672C6">
      <w:pPr>
        <w:pStyle w:val="ListParagraph"/>
        <w:numPr>
          <w:ilvl w:val="0"/>
          <w:numId w:val="13"/>
        </w:numPr>
        <w:ind w:left="360"/>
        <w:rPr>
          <w:rFonts w:ascii="Corbel" w:hAnsi="Corbel" w:cs="Arial"/>
          <w:sz w:val="26"/>
          <w:szCs w:val="26"/>
        </w:rPr>
      </w:pPr>
      <w:r w:rsidRPr="008F0739">
        <w:rPr>
          <w:rFonts w:ascii="Corbel" w:hAnsi="Corbel" w:cs="Arial"/>
          <w:sz w:val="26"/>
          <w:szCs w:val="26"/>
          <w:u w:val="none"/>
        </w:rPr>
        <w:t xml:space="preserve">Receiving </w:t>
      </w:r>
      <w:r w:rsidR="009375EF">
        <w:rPr>
          <w:rFonts w:ascii="Corbel" w:hAnsi="Corbel" w:cs="Arial"/>
          <w:sz w:val="26"/>
          <w:szCs w:val="26"/>
          <w:u w:val="none"/>
        </w:rPr>
        <w:t>m</w:t>
      </w:r>
      <w:r w:rsidRPr="008F0739">
        <w:rPr>
          <w:rFonts w:ascii="Corbel" w:hAnsi="Corbel" w:cs="Arial"/>
          <w:sz w:val="26"/>
          <w:szCs w:val="26"/>
          <w:u w:val="none"/>
        </w:rPr>
        <w:t xml:space="preserve">aintenance </w:t>
      </w:r>
      <w:r w:rsidR="00204F1C" w:rsidRPr="008F0739">
        <w:rPr>
          <w:rFonts w:ascii="Corbel" w:hAnsi="Corbel" w:cs="Arial"/>
          <w:sz w:val="26"/>
          <w:szCs w:val="26"/>
          <w:u w:val="none"/>
        </w:rPr>
        <w:t xml:space="preserve">(in the Training and Supports grouping) </w:t>
      </w:r>
      <w:r w:rsidRPr="008F0739">
        <w:rPr>
          <w:rFonts w:ascii="Corbel" w:hAnsi="Corbel" w:cs="Arial"/>
          <w:sz w:val="26"/>
          <w:szCs w:val="26"/>
          <w:u w:val="none"/>
        </w:rPr>
        <w:t>was positively related to competitive employment.</w:t>
      </w:r>
      <w:r w:rsidR="008F0739">
        <w:rPr>
          <w:rFonts w:ascii="Corbel" w:hAnsi="Corbel" w:cs="Arial"/>
          <w:sz w:val="26"/>
          <w:szCs w:val="26"/>
          <w:u w:val="none"/>
        </w:rPr>
        <w:t xml:space="preserve"> </w:t>
      </w:r>
      <w:r w:rsidRPr="00E853D0">
        <w:rPr>
          <w:rFonts w:ascii="Corbel" w:hAnsi="Corbel" w:cs="Arial"/>
          <w:sz w:val="26"/>
          <w:szCs w:val="26"/>
          <w:u w:val="none"/>
        </w:rPr>
        <w:t xml:space="preserve">Receipt increased the </w:t>
      </w:r>
      <w:r w:rsidR="00E653A4" w:rsidRPr="00E853D0">
        <w:rPr>
          <w:rFonts w:ascii="Corbel" w:hAnsi="Corbel" w:cs="Arial"/>
          <w:sz w:val="26"/>
          <w:szCs w:val="26"/>
          <w:u w:val="none"/>
        </w:rPr>
        <w:t xml:space="preserve">likelihood </w:t>
      </w:r>
      <w:r w:rsidRPr="00E853D0">
        <w:rPr>
          <w:rFonts w:ascii="Corbel" w:hAnsi="Corbel" w:cs="Arial"/>
          <w:sz w:val="26"/>
          <w:szCs w:val="26"/>
          <w:u w:val="none"/>
        </w:rPr>
        <w:t>o</w:t>
      </w:r>
      <w:r w:rsidR="00E653A4" w:rsidRPr="00E853D0">
        <w:rPr>
          <w:rFonts w:ascii="Corbel" w:hAnsi="Corbel" w:cs="Arial"/>
          <w:sz w:val="26"/>
          <w:szCs w:val="26"/>
          <w:u w:val="none"/>
        </w:rPr>
        <w:t xml:space="preserve">f competitive closure by about </w:t>
      </w:r>
      <w:r w:rsidR="00BA3F67" w:rsidRPr="00E853D0">
        <w:rPr>
          <w:rFonts w:ascii="Corbel" w:hAnsi="Corbel" w:cs="Arial"/>
          <w:sz w:val="26"/>
          <w:szCs w:val="26"/>
          <w:u w:val="none"/>
        </w:rPr>
        <w:t>35</w:t>
      </w:r>
      <w:r w:rsidRPr="00E853D0">
        <w:rPr>
          <w:rFonts w:ascii="Corbel" w:hAnsi="Corbel" w:cs="Arial"/>
          <w:sz w:val="26"/>
          <w:szCs w:val="26"/>
          <w:u w:val="none"/>
        </w:rPr>
        <w:t>%.</w:t>
      </w:r>
    </w:p>
    <w:p w14:paraId="7B7EE267" w14:textId="02F63942" w:rsidR="00D878B5" w:rsidRPr="00E853D0" w:rsidRDefault="005E359E" w:rsidP="00E672C6">
      <w:pPr>
        <w:pStyle w:val="ListParagraph"/>
        <w:numPr>
          <w:ilvl w:val="0"/>
          <w:numId w:val="13"/>
        </w:numPr>
        <w:ind w:left="360"/>
        <w:rPr>
          <w:rFonts w:ascii="Corbel" w:hAnsi="Corbel" w:cs="Arial"/>
          <w:sz w:val="26"/>
          <w:szCs w:val="26"/>
        </w:rPr>
      </w:pPr>
      <w:r w:rsidRPr="008F0739">
        <w:rPr>
          <w:rFonts w:ascii="Corbel" w:hAnsi="Corbel" w:cs="Arial"/>
          <w:sz w:val="26"/>
          <w:szCs w:val="26"/>
          <w:u w:val="none"/>
        </w:rPr>
        <w:t xml:space="preserve">Receiving </w:t>
      </w:r>
      <w:r w:rsidR="008F0739">
        <w:rPr>
          <w:rFonts w:ascii="Corbel" w:hAnsi="Corbel" w:cs="Arial"/>
          <w:sz w:val="26"/>
          <w:szCs w:val="26"/>
          <w:u w:val="none"/>
        </w:rPr>
        <w:t>d</w:t>
      </w:r>
      <w:r w:rsidRPr="008F0739">
        <w:rPr>
          <w:rFonts w:ascii="Corbel" w:hAnsi="Corbel" w:cs="Arial"/>
          <w:sz w:val="26"/>
          <w:szCs w:val="26"/>
          <w:u w:val="none"/>
        </w:rPr>
        <w:t>isability-related augmentative skills training</w:t>
      </w:r>
      <w:r w:rsidR="00204F1C" w:rsidRPr="008F0739">
        <w:rPr>
          <w:rFonts w:ascii="Corbel" w:hAnsi="Corbel" w:cs="Arial"/>
          <w:sz w:val="26"/>
          <w:szCs w:val="26"/>
          <w:u w:val="none"/>
        </w:rPr>
        <w:t xml:space="preserve"> (in the Training and Supports grouping)</w:t>
      </w:r>
      <w:r w:rsidRPr="008F0739">
        <w:rPr>
          <w:rFonts w:ascii="Corbel" w:hAnsi="Corbel" w:cs="Arial"/>
          <w:sz w:val="26"/>
          <w:szCs w:val="26"/>
          <w:u w:val="none"/>
        </w:rPr>
        <w:t xml:space="preserve"> was negatively related to competitive employment.</w:t>
      </w:r>
      <w:r w:rsidR="008F0739">
        <w:rPr>
          <w:rFonts w:ascii="Corbel" w:hAnsi="Corbel" w:cs="Arial"/>
          <w:sz w:val="26"/>
          <w:szCs w:val="26"/>
          <w:u w:val="none"/>
        </w:rPr>
        <w:t xml:space="preserve"> </w:t>
      </w:r>
      <w:r w:rsidRPr="00E853D0">
        <w:rPr>
          <w:rFonts w:ascii="Corbel" w:hAnsi="Corbel" w:cs="Arial"/>
          <w:sz w:val="26"/>
          <w:szCs w:val="26"/>
          <w:u w:val="none"/>
        </w:rPr>
        <w:t xml:space="preserve">Receipt </w:t>
      </w:r>
      <w:r w:rsidR="00D70C44" w:rsidRPr="00E853D0">
        <w:rPr>
          <w:rFonts w:ascii="Corbel" w:hAnsi="Corbel" w:cs="Arial"/>
          <w:sz w:val="26"/>
          <w:szCs w:val="26"/>
          <w:u w:val="none"/>
        </w:rPr>
        <w:t>was related to a decrease in</w:t>
      </w:r>
      <w:r w:rsidRPr="00E853D0">
        <w:rPr>
          <w:rFonts w:ascii="Corbel" w:hAnsi="Corbel" w:cs="Arial"/>
          <w:sz w:val="26"/>
          <w:szCs w:val="26"/>
          <w:u w:val="none"/>
        </w:rPr>
        <w:t xml:space="preserve"> the </w:t>
      </w:r>
      <w:r w:rsidR="00A103E9" w:rsidRPr="00E853D0">
        <w:rPr>
          <w:rFonts w:ascii="Corbel" w:hAnsi="Corbel" w:cs="Arial"/>
          <w:sz w:val="26"/>
          <w:szCs w:val="26"/>
          <w:u w:val="none"/>
        </w:rPr>
        <w:t xml:space="preserve">likelihood </w:t>
      </w:r>
      <w:r w:rsidRPr="00E853D0">
        <w:rPr>
          <w:rFonts w:ascii="Corbel" w:hAnsi="Corbel" w:cs="Arial"/>
          <w:sz w:val="26"/>
          <w:szCs w:val="26"/>
          <w:u w:val="none"/>
        </w:rPr>
        <w:t xml:space="preserve">of competitive employment by about </w:t>
      </w:r>
      <w:r w:rsidR="00A103E9" w:rsidRPr="00E853D0">
        <w:rPr>
          <w:rFonts w:ascii="Corbel" w:hAnsi="Corbel" w:cs="Arial"/>
          <w:sz w:val="26"/>
          <w:szCs w:val="26"/>
          <w:u w:val="none"/>
        </w:rPr>
        <w:t>30</w:t>
      </w:r>
      <w:r w:rsidRPr="00E853D0">
        <w:rPr>
          <w:rFonts w:ascii="Corbel" w:hAnsi="Corbel" w:cs="Arial"/>
          <w:sz w:val="26"/>
          <w:szCs w:val="26"/>
          <w:u w:val="none"/>
        </w:rPr>
        <w:t>% relative to those not receiving th</w:t>
      </w:r>
      <w:r w:rsidR="00204F1C" w:rsidRPr="00E853D0">
        <w:rPr>
          <w:rFonts w:ascii="Corbel" w:hAnsi="Corbel" w:cs="Arial"/>
          <w:sz w:val="26"/>
          <w:szCs w:val="26"/>
          <w:u w:val="none"/>
        </w:rPr>
        <w:t xml:space="preserve">is </w:t>
      </w:r>
      <w:proofErr w:type="gramStart"/>
      <w:r w:rsidR="00204F1C" w:rsidRPr="00E853D0">
        <w:rPr>
          <w:rFonts w:ascii="Corbel" w:hAnsi="Corbel" w:cs="Arial"/>
          <w:sz w:val="26"/>
          <w:szCs w:val="26"/>
          <w:u w:val="none"/>
        </w:rPr>
        <w:t>type</w:t>
      </w:r>
      <w:proofErr w:type="gramEnd"/>
      <w:r w:rsidRPr="00E853D0">
        <w:rPr>
          <w:rFonts w:ascii="Corbel" w:hAnsi="Corbel" w:cs="Arial"/>
          <w:sz w:val="26"/>
          <w:szCs w:val="26"/>
          <w:u w:val="none"/>
        </w:rPr>
        <w:t xml:space="preserve"> service.</w:t>
      </w:r>
      <w:r w:rsidR="00ED270A" w:rsidRPr="00E853D0">
        <w:rPr>
          <w:rFonts w:ascii="Corbel" w:hAnsi="Corbel" w:cs="Arial"/>
          <w:sz w:val="26"/>
          <w:szCs w:val="26"/>
          <w:u w:val="none"/>
        </w:rPr>
        <w:br/>
      </w:r>
    </w:p>
    <w:p w14:paraId="3A8FF616" w14:textId="3E118103" w:rsidR="00713108" w:rsidRPr="00E853D0" w:rsidRDefault="00204F1C" w:rsidP="007012FC">
      <w:pPr>
        <w:ind w:left="0" w:firstLine="0"/>
        <w:rPr>
          <w:rFonts w:ascii="Corbel" w:hAnsi="Corbel"/>
          <w:sz w:val="26"/>
          <w:szCs w:val="26"/>
          <w:u w:val="none"/>
        </w:rPr>
      </w:pPr>
      <w:r w:rsidRPr="008F0739">
        <w:rPr>
          <w:rFonts w:ascii="Corbel" w:hAnsi="Corbel"/>
          <w:i/>
          <w:sz w:val="26"/>
          <w:szCs w:val="26"/>
          <w:u w:val="none"/>
        </w:rPr>
        <w:t>Note on Services.</w:t>
      </w:r>
      <w:r w:rsidRPr="008F0739">
        <w:rPr>
          <w:rFonts w:ascii="Corbel" w:hAnsi="Corbel"/>
          <w:sz w:val="26"/>
          <w:szCs w:val="26"/>
          <w:u w:val="none"/>
        </w:rPr>
        <w:t xml:space="preserve"> </w:t>
      </w:r>
      <w:proofErr w:type="gramStart"/>
      <w:r w:rsidR="0050342F" w:rsidRPr="008F0739">
        <w:rPr>
          <w:rFonts w:ascii="Corbel" w:hAnsi="Corbel"/>
          <w:sz w:val="26"/>
          <w:szCs w:val="26"/>
          <w:u w:val="none"/>
        </w:rPr>
        <w:t>A number of</w:t>
      </w:r>
      <w:proofErr w:type="gramEnd"/>
      <w:r w:rsidR="0050342F" w:rsidRPr="008F0739">
        <w:rPr>
          <w:rFonts w:ascii="Corbel" w:hAnsi="Corbel"/>
          <w:sz w:val="26"/>
          <w:szCs w:val="26"/>
          <w:u w:val="none"/>
        </w:rPr>
        <w:t xml:space="preserve"> s</w:t>
      </w:r>
      <w:r w:rsidR="00D878B5" w:rsidRPr="008F0739">
        <w:rPr>
          <w:rFonts w:ascii="Corbel" w:hAnsi="Corbel"/>
          <w:sz w:val="26"/>
          <w:szCs w:val="26"/>
          <w:u w:val="none"/>
        </w:rPr>
        <w:t>ervices</w:t>
      </w:r>
      <w:r w:rsidR="0050342F" w:rsidRPr="008F0739">
        <w:rPr>
          <w:rFonts w:ascii="Corbel" w:hAnsi="Corbel"/>
          <w:sz w:val="26"/>
          <w:szCs w:val="26"/>
          <w:u w:val="none"/>
        </w:rPr>
        <w:t>—particularly the ones we have labeled as “risk indicators”—are revealing of needs of the consumer.</w:t>
      </w:r>
      <w:r w:rsidR="0050342F" w:rsidRPr="00E853D0">
        <w:rPr>
          <w:rFonts w:ascii="Corbel" w:hAnsi="Corbel"/>
          <w:sz w:val="26"/>
          <w:szCs w:val="26"/>
          <w:u w:val="none"/>
        </w:rPr>
        <w:t xml:space="preserve"> They </w:t>
      </w:r>
      <w:r w:rsidR="00D878B5" w:rsidRPr="00E853D0">
        <w:rPr>
          <w:rFonts w:ascii="Corbel" w:hAnsi="Corbel"/>
          <w:sz w:val="26"/>
          <w:szCs w:val="26"/>
          <w:u w:val="none"/>
        </w:rPr>
        <w:t>are a kind of “prognosis” by “diagnosis” where</w:t>
      </w:r>
      <w:r w:rsidR="008F0739">
        <w:rPr>
          <w:rFonts w:ascii="Corbel" w:hAnsi="Corbel"/>
          <w:sz w:val="26"/>
          <w:szCs w:val="26"/>
          <w:u w:val="none"/>
        </w:rPr>
        <w:t xml:space="preserve"> the</w:t>
      </w:r>
      <w:r w:rsidR="00D878B5" w:rsidRPr="00E853D0">
        <w:rPr>
          <w:rFonts w:ascii="Corbel" w:hAnsi="Corbel"/>
          <w:sz w:val="26"/>
          <w:szCs w:val="26"/>
          <w:u w:val="none"/>
        </w:rPr>
        <w:t xml:space="preserve"> diagnosis </w:t>
      </w:r>
      <w:r w:rsidR="008F0739">
        <w:rPr>
          <w:rFonts w:ascii="Corbel" w:hAnsi="Corbel"/>
          <w:sz w:val="26"/>
          <w:szCs w:val="26"/>
          <w:u w:val="none"/>
        </w:rPr>
        <w:t xml:space="preserve">can </w:t>
      </w:r>
      <w:r w:rsidR="00D878B5" w:rsidRPr="00E853D0">
        <w:rPr>
          <w:rFonts w:ascii="Corbel" w:hAnsi="Corbel"/>
          <w:sz w:val="26"/>
          <w:szCs w:val="26"/>
          <w:u w:val="none"/>
        </w:rPr>
        <w:t xml:space="preserve">tell what </w:t>
      </w:r>
      <w:r w:rsidR="0050342F" w:rsidRPr="00E853D0">
        <w:rPr>
          <w:rFonts w:ascii="Corbel" w:hAnsi="Corbel"/>
          <w:sz w:val="26"/>
          <w:szCs w:val="26"/>
          <w:u w:val="none"/>
        </w:rPr>
        <w:t xml:space="preserve">the issue </w:t>
      </w:r>
      <w:r w:rsidR="008F0739">
        <w:rPr>
          <w:rFonts w:ascii="Corbel" w:hAnsi="Corbel"/>
          <w:sz w:val="26"/>
          <w:szCs w:val="26"/>
          <w:u w:val="none"/>
        </w:rPr>
        <w:t xml:space="preserve">is and imply </w:t>
      </w:r>
      <w:r w:rsidR="00D878B5" w:rsidRPr="00E853D0">
        <w:rPr>
          <w:rFonts w:ascii="Corbel" w:hAnsi="Corbel"/>
          <w:sz w:val="26"/>
          <w:szCs w:val="26"/>
          <w:u w:val="none"/>
        </w:rPr>
        <w:t xml:space="preserve">a </w:t>
      </w:r>
      <w:proofErr w:type="gramStart"/>
      <w:r w:rsidR="00D878B5" w:rsidRPr="00E853D0">
        <w:rPr>
          <w:rFonts w:ascii="Corbel" w:hAnsi="Corbel"/>
          <w:sz w:val="26"/>
          <w:szCs w:val="26"/>
          <w:u w:val="none"/>
        </w:rPr>
        <w:t>treatment, if</w:t>
      </w:r>
      <w:proofErr w:type="gramEnd"/>
      <w:r w:rsidR="00D878B5" w:rsidRPr="00E853D0">
        <w:rPr>
          <w:rFonts w:ascii="Corbel" w:hAnsi="Corbel"/>
          <w:sz w:val="26"/>
          <w:szCs w:val="26"/>
          <w:u w:val="none"/>
        </w:rPr>
        <w:t xml:space="preserve"> we were to use a medical model analogy.</w:t>
      </w:r>
      <w:r w:rsidR="00627529" w:rsidRPr="00E853D0">
        <w:rPr>
          <w:rFonts w:ascii="Corbel" w:hAnsi="Corbel"/>
          <w:sz w:val="26"/>
          <w:szCs w:val="26"/>
          <w:u w:val="none"/>
        </w:rPr>
        <w:t xml:space="preserve"> </w:t>
      </w:r>
      <w:r w:rsidR="0050342F" w:rsidRPr="00E853D0">
        <w:rPr>
          <w:rFonts w:ascii="Corbel" w:hAnsi="Corbel"/>
          <w:sz w:val="26"/>
          <w:szCs w:val="26"/>
          <w:u w:val="none"/>
        </w:rPr>
        <w:t>There are limits to this</w:t>
      </w:r>
      <w:r w:rsidR="00AA3F6F" w:rsidRPr="00E853D0">
        <w:rPr>
          <w:rFonts w:ascii="Corbel" w:hAnsi="Corbel"/>
          <w:sz w:val="26"/>
          <w:szCs w:val="26"/>
          <w:u w:val="none"/>
        </w:rPr>
        <w:t xml:space="preserve"> analogy where services are designed to raise education or skill levels, such as postsecondary training services or more technical skills training.</w:t>
      </w:r>
      <w:r w:rsidR="001A289C" w:rsidRPr="00E853D0">
        <w:rPr>
          <w:rFonts w:ascii="Corbel" w:hAnsi="Corbel"/>
          <w:sz w:val="26"/>
          <w:szCs w:val="26"/>
        </w:rPr>
        <w:br/>
      </w:r>
    </w:p>
    <w:p w14:paraId="39D69AA7" w14:textId="77777777" w:rsidR="005053DD" w:rsidRDefault="005053DD">
      <w:pPr>
        <w:rPr>
          <w:rFonts w:ascii="Corbel" w:hAnsi="Corbel"/>
          <w:b/>
          <w:sz w:val="26"/>
          <w:szCs w:val="26"/>
        </w:rPr>
      </w:pPr>
      <w:r>
        <w:rPr>
          <w:rFonts w:ascii="Corbel" w:hAnsi="Corbel"/>
          <w:b/>
          <w:sz w:val="26"/>
          <w:szCs w:val="26"/>
        </w:rPr>
        <w:br w:type="page"/>
      </w:r>
    </w:p>
    <w:p w14:paraId="389EF2EB" w14:textId="3EAE2538" w:rsidR="00F32641" w:rsidRPr="008F0739" w:rsidRDefault="00A72522" w:rsidP="003302D3">
      <w:pPr>
        <w:ind w:left="0" w:firstLine="0"/>
        <w:rPr>
          <w:rFonts w:ascii="Corbel" w:hAnsi="Corbel"/>
          <w:b/>
          <w:sz w:val="26"/>
          <w:szCs w:val="26"/>
        </w:rPr>
      </w:pPr>
      <w:r w:rsidRPr="008F0739">
        <w:rPr>
          <w:rFonts w:ascii="Corbel" w:hAnsi="Corbel"/>
          <w:b/>
          <w:sz w:val="26"/>
          <w:szCs w:val="26"/>
        </w:rPr>
        <w:lastRenderedPageBreak/>
        <w:t>Study</w:t>
      </w:r>
      <w:r w:rsidR="00F32641" w:rsidRPr="008F0739">
        <w:rPr>
          <w:rFonts w:ascii="Corbel" w:hAnsi="Corbel"/>
          <w:b/>
          <w:sz w:val="26"/>
          <w:szCs w:val="26"/>
        </w:rPr>
        <w:t xml:space="preserve"> III: The Predictors of Earnings Enabling Likely Roll Departure for SSDI Beneficiaries with Visual Impairments in VR</w:t>
      </w:r>
    </w:p>
    <w:p w14:paraId="44D9E242" w14:textId="77777777" w:rsidR="002B15A6" w:rsidRPr="00E853D0" w:rsidRDefault="002B15A6" w:rsidP="00F32641">
      <w:pPr>
        <w:ind w:firstLine="0"/>
        <w:rPr>
          <w:rFonts w:ascii="Corbel" w:hAnsi="Corbel"/>
          <w:b/>
          <w:sz w:val="26"/>
          <w:szCs w:val="26"/>
          <w:u w:val="none"/>
        </w:rPr>
      </w:pPr>
    </w:p>
    <w:p w14:paraId="7CE4F9E8" w14:textId="50BE04F1" w:rsidR="00AC07B1" w:rsidRPr="00E853D0" w:rsidRDefault="002B15A6" w:rsidP="00622117">
      <w:pPr>
        <w:ind w:left="0" w:firstLine="0"/>
        <w:rPr>
          <w:rFonts w:ascii="Corbel" w:hAnsi="Corbel"/>
          <w:sz w:val="26"/>
          <w:szCs w:val="26"/>
          <w:u w:val="none"/>
        </w:rPr>
      </w:pPr>
      <w:r w:rsidRPr="00E853D0">
        <w:rPr>
          <w:rFonts w:ascii="Corbel" w:hAnsi="Corbel"/>
          <w:sz w:val="26"/>
          <w:szCs w:val="26"/>
          <w:u w:val="none"/>
        </w:rPr>
        <w:t xml:space="preserve">The major objective of this study was to identify factors </w:t>
      </w:r>
      <w:r w:rsidR="006B4C45" w:rsidRPr="00E853D0">
        <w:rPr>
          <w:rFonts w:ascii="Corbel" w:hAnsi="Corbel"/>
          <w:sz w:val="26"/>
          <w:szCs w:val="26"/>
          <w:u w:val="none"/>
        </w:rPr>
        <w:t xml:space="preserve">associated with </w:t>
      </w:r>
      <w:r w:rsidRPr="00E853D0">
        <w:rPr>
          <w:rFonts w:ascii="Corbel" w:hAnsi="Corbel"/>
          <w:sz w:val="26"/>
          <w:szCs w:val="26"/>
          <w:u w:val="none"/>
        </w:rPr>
        <w:t>the achievement</w:t>
      </w:r>
      <w:r w:rsidR="001F5A03" w:rsidRPr="00E853D0">
        <w:rPr>
          <w:rFonts w:ascii="Corbel" w:hAnsi="Corbel"/>
          <w:sz w:val="26"/>
          <w:szCs w:val="26"/>
          <w:u w:val="none"/>
        </w:rPr>
        <w:t xml:space="preserve"> of employment with earnings </w:t>
      </w:r>
      <w:r w:rsidRPr="00E853D0">
        <w:rPr>
          <w:rFonts w:ascii="Corbel" w:hAnsi="Corbel"/>
          <w:sz w:val="26"/>
          <w:szCs w:val="26"/>
          <w:u w:val="none"/>
        </w:rPr>
        <w:t xml:space="preserve">that exceed SGA for </w:t>
      </w:r>
      <w:r w:rsidR="002206CF" w:rsidRPr="00E853D0">
        <w:rPr>
          <w:rFonts w:ascii="Corbel" w:hAnsi="Corbel"/>
          <w:sz w:val="26"/>
          <w:szCs w:val="26"/>
          <w:u w:val="none"/>
        </w:rPr>
        <w:t>SSDI</w:t>
      </w:r>
      <w:r w:rsidRPr="00E853D0">
        <w:rPr>
          <w:rFonts w:ascii="Corbel" w:hAnsi="Corbel"/>
          <w:sz w:val="26"/>
          <w:szCs w:val="26"/>
          <w:u w:val="none"/>
        </w:rPr>
        <w:t xml:space="preserve"> beneficiaries in VR who are blind or visually impaired.</w:t>
      </w:r>
      <w:r w:rsidR="00AC07B1" w:rsidRPr="00E853D0">
        <w:rPr>
          <w:rFonts w:ascii="Corbel" w:hAnsi="Corbel"/>
          <w:sz w:val="26"/>
          <w:szCs w:val="26"/>
          <w:u w:val="none"/>
        </w:rPr>
        <w:t xml:space="preserve"> The SGA amount for a person who was blind was $1640 monthly ($410 weekly) for the fiscal year of the research. If the income of the consumer at closure met this criterion, they were termed “</w:t>
      </w:r>
      <w:r w:rsidR="00AC07B1" w:rsidRPr="00E853D0">
        <w:rPr>
          <w:rFonts w:ascii="Corbel" w:hAnsi="Corbel"/>
          <w:i/>
          <w:sz w:val="26"/>
          <w:szCs w:val="26"/>
          <w:u w:val="none"/>
        </w:rPr>
        <w:t>prime candidates</w:t>
      </w:r>
      <w:r w:rsidR="00AC07B1" w:rsidRPr="00E853D0">
        <w:rPr>
          <w:rFonts w:ascii="Corbel" w:hAnsi="Corbel"/>
          <w:sz w:val="26"/>
          <w:szCs w:val="26"/>
          <w:u w:val="none"/>
        </w:rPr>
        <w:t xml:space="preserve">” to eventually suspend or terminate </w:t>
      </w:r>
      <w:r w:rsidR="002206CF" w:rsidRPr="00E853D0">
        <w:rPr>
          <w:rFonts w:ascii="Corbel" w:hAnsi="Corbel"/>
          <w:sz w:val="26"/>
          <w:szCs w:val="26"/>
          <w:u w:val="none"/>
        </w:rPr>
        <w:t>SSDI</w:t>
      </w:r>
      <w:r w:rsidR="00AC07B1" w:rsidRPr="00E853D0">
        <w:rPr>
          <w:rFonts w:ascii="Corbel" w:hAnsi="Corbel"/>
          <w:sz w:val="26"/>
          <w:szCs w:val="26"/>
          <w:u w:val="none"/>
        </w:rPr>
        <w:t xml:space="preserve"> benefits.</w:t>
      </w:r>
      <w:r w:rsidR="003066DA" w:rsidRPr="00E853D0">
        <w:rPr>
          <w:rFonts w:ascii="Corbel" w:hAnsi="Corbel"/>
          <w:sz w:val="26"/>
          <w:szCs w:val="26"/>
          <w:u w:val="none"/>
        </w:rPr>
        <w:t xml:space="preserve"> Achieving “prime candidacy” status </w:t>
      </w:r>
      <w:r w:rsidR="003066DA" w:rsidRPr="00E853D0">
        <w:rPr>
          <w:rFonts w:ascii="Corbel" w:hAnsi="Corbel"/>
          <w:i/>
          <w:sz w:val="26"/>
          <w:szCs w:val="26"/>
          <w:u w:val="none"/>
        </w:rPr>
        <w:t>is the same thing</w:t>
      </w:r>
      <w:r w:rsidR="003066DA" w:rsidRPr="00E853D0">
        <w:rPr>
          <w:rFonts w:ascii="Corbel" w:hAnsi="Corbel"/>
          <w:sz w:val="26"/>
          <w:szCs w:val="26"/>
          <w:u w:val="none"/>
        </w:rPr>
        <w:t xml:space="preserve"> as achieving closure earnings exceeding SGA.</w:t>
      </w:r>
    </w:p>
    <w:p w14:paraId="67FD782E" w14:textId="77777777" w:rsidR="00AE0B74" w:rsidRDefault="00F32641" w:rsidP="00E672C6">
      <w:pPr>
        <w:pStyle w:val="ListParagraph"/>
        <w:numPr>
          <w:ilvl w:val="0"/>
          <w:numId w:val="14"/>
        </w:numPr>
        <w:rPr>
          <w:rFonts w:ascii="Corbel" w:hAnsi="Corbel" w:cs="Arial"/>
          <w:sz w:val="26"/>
          <w:szCs w:val="26"/>
        </w:rPr>
      </w:pPr>
      <w:r w:rsidRPr="00707DF2">
        <w:rPr>
          <w:rFonts w:ascii="Corbel" w:hAnsi="Corbel" w:cs="Arial"/>
          <w:sz w:val="26"/>
          <w:szCs w:val="26"/>
          <w:u w:val="none"/>
        </w:rPr>
        <w:t xml:space="preserve">The base rate </w:t>
      </w:r>
      <w:r w:rsidR="00AC07B1" w:rsidRPr="00707DF2">
        <w:rPr>
          <w:rFonts w:ascii="Corbel" w:hAnsi="Corbel" w:cs="Arial"/>
          <w:sz w:val="26"/>
          <w:szCs w:val="26"/>
          <w:u w:val="none"/>
        </w:rPr>
        <w:t xml:space="preserve">achieving </w:t>
      </w:r>
      <w:r w:rsidR="00622117" w:rsidRPr="00707DF2">
        <w:rPr>
          <w:rFonts w:ascii="Corbel" w:hAnsi="Corbel" w:cs="Arial"/>
          <w:sz w:val="26"/>
          <w:szCs w:val="26"/>
          <w:u w:val="none"/>
        </w:rPr>
        <w:t xml:space="preserve">closure earnings </w:t>
      </w:r>
      <w:r w:rsidR="001F5A03" w:rsidRPr="00707DF2">
        <w:rPr>
          <w:rFonts w:ascii="Corbel" w:hAnsi="Corbel" w:cs="Arial"/>
          <w:sz w:val="26"/>
          <w:szCs w:val="26"/>
          <w:u w:val="none"/>
        </w:rPr>
        <w:t xml:space="preserve">over SGA </w:t>
      </w:r>
      <w:r w:rsidR="00622117" w:rsidRPr="00707DF2">
        <w:rPr>
          <w:rFonts w:ascii="Corbel" w:hAnsi="Corbel" w:cs="Arial"/>
          <w:sz w:val="26"/>
          <w:szCs w:val="26"/>
          <w:u w:val="none"/>
        </w:rPr>
        <w:t xml:space="preserve">(and “prime candidacy” for future benefits </w:t>
      </w:r>
      <w:r w:rsidR="004749B4" w:rsidRPr="00707DF2">
        <w:rPr>
          <w:rFonts w:ascii="Corbel" w:hAnsi="Corbel" w:cs="Arial"/>
          <w:sz w:val="26"/>
          <w:szCs w:val="26"/>
          <w:u w:val="none"/>
        </w:rPr>
        <w:t>suspension</w:t>
      </w:r>
      <w:r w:rsidR="00622117" w:rsidRPr="00707DF2">
        <w:rPr>
          <w:rFonts w:ascii="Corbel" w:hAnsi="Corbel" w:cs="Arial"/>
          <w:sz w:val="26"/>
          <w:szCs w:val="26"/>
          <w:u w:val="none"/>
        </w:rPr>
        <w:t xml:space="preserve">) </w:t>
      </w:r>
      <w:r w:rsidRPr="00707DF2">
        <w:rPr>
          <w:rFonts w:ascii="Corbel" w:hAnsi="Corbel" w:cs="Arial"/>
          <w:sz w:val="26"/>
          <w:szCs w:val="26"/>
          <w:u w:val="none"/>
        </w:rPr>
        <w:t xml:space="preserve">was about </w:t>
      </w:r>
      <w:r w:rsidR="004749B4" w:rsidRPr="00707DF2">
        <w:rPr>
          <w:rFonts w:ascii="Corbel" w:hAnsi="Corbel" w:cs="Arial"/>
          <w:sz w:val="26"/>
          <w:szCs w:val="26"/>
          <w:u w:val="none"/>
        </w:rPr>
        <w:t>10</w:t>
      </w:r>
      <w:r w:rsidRPr="00707DF2">
        <w:rPr>
          <w:rFonts w:ascii="Corbel" w:hAnsi="Corbel" w:cs="Arial"/>
          <w:sz w:val="26"/>
          <w:szCs w:val="26"/>
          <w:u w:val="none"/>
        </w:rPr>
        <w:t>%</w:t>
      </w:r>
      <w:r w:rsidR="004749B4" w:rsidRPr="00707DF2">
        <w:rPr>
          <w:rFonts w:ascii="Corbel" w:hAnsi="Corbel" w:cs="Arial"/>
          <w:sz w:val="26"/>
          <w:szCs w:val="26"/>
          <w:u w:val="none"/>
        </w:rPr>
        <w:t>. This low rate indicates we are identifying a select group.</w:t>
      </w:r>
      <w:r w:rsidR="00AE0B74">
        <w:rPr>
          <w:rFonts w:ascii="Corbel" w:hAnsi="Corbel" w:cs="Arial"/>
          <w:sz w:val="26"/>
          <w:szCs w:val="26"/>
        </w:rPr>
        <w:br/>
      </w:r>
    </w:p>
    <w:p w14:paraId="72487D28" w14:textId="638C1BEF" w:rsidR="00F32641" w:rsidRPr="00AE0B74" w:rsidRDefault="00146D35" w:rsidP="00AE0B74">
      <w:pPr>
        <w:ind w:left="0" w:firstLine="0"/>
        <w:rPr>
          <w:rFonts w:ascii="Corbel" w:hAnsi="Corbel"/>
          <w:sz w:val="26"/>
          <w:szCs w:val="26"/>
        </w:rPr>
      </w:pPr>
      <w:r w:rsidRPr="00AE0B74">
        <w:rPr>
          <w:rFonts w:ascii="Corbel" w:hAnsi="Corbel"/>
          <w:b/>
          <w:sz w:val="26"/>
          <w:szCs w:val="26"/>
          <w:u w:val="none"/>
        </w:rPr>
        <w:t>Demographic and State-Level Influences</w:t>
      </w:r>
    </w:p>
    <w:p w14:paraId="61F66363" w14:textId="2439A807" w:rsidR="005369A5" w:rsidRPr="00707DF2" w:rsidRDefault="00F32641" w:rsidP="00E672C6">
      <w:pPr>
        <w:pStyle w:val="ListParagraph"/>
        <w:numPr>
          <w:ilvl w:val="0"/>
          <w:numId w:val="14"/>
        </w:numPr>
        <w:rPr>
          <w:rFonts w:ascii="Corbel" w:hAnsi="Corbel" w:cs="Arial"/>
          <w:sz w:val="26"/>
          <w:szCs w:val="26"/>
          <w:u w:val="none"/>
        </w:rPr>
      </w:pPr>
      <w:r w:rsidRPr="00707DF2">
        <w:rPr>
          <w:rFonts w:ascii="Corbel" w:hAnsi="Corbel" w:cs="Arial"/>
          <w:sz w:val="26"/>
          <w:szCs w:val="26"/>
          <w:u w:val="none"/>
        </w:rPr>
        <w:t xml:space="preserve">State unemployment rate was </w:t>
      </w:r>
      <w:r w:rsidR="001A6DD7" w:rsidRPr="00707DF2">
        <w:rPr>
          <w:rFonts w:ascii="Corbel" w:hAnsi="Corbel" w:cs="Arial"/>
          <w:sz w:val="26"/>
          <w:szCs w:val="26"/>
          <w:u w:val="none"/>
        </w:rPr>
        <w:t xml:space="preserve">a negative factor in </w:t>
      </w:r>
      <w:r w:rsidRPr="00707DF2">
        <w:rPr>
          <w:rFonts w:ascii="Corbel" w:hAnsi="Corbel" w:cs="Arial"/>
          <w:sz w:val="26"/>
          <w:szCs w:val="26"/>
          <w:u w:val="none"/>
        </w:rPr>
        <w:t xml:space="preserve">achieving </w:t>
      </w:r>
      <w:r w:rsidR="001A6DD7" w:rsidRPr="00707DF2">
        <w:rPr>
          <w:rFonts w:ascii="Corbel" w:hAnsi="Corbel" w:cs="Arial"/>
          <w:sz w:val="26"/>
          <w:szCs w:val="26"/>
          <w:u w:val="none"/>
        </w:rPr>
        <w:t xml:space="preserve">closure earnings over SGA. For a 1% increase in state unemployment rate, the odds of </w:t>
      </w:r>
      <w:r w:rsidR="00884CA8" w:rsidRPr="00707DF2">
        <w:rPr>
          <w:rFonts w:ascii="Corbel" w:hAnsi="Corbel" w:cs="Arial"/>
          <w:sz w:val="26"/>
          <w:szCs w:val="26"/>
          <w:u w:val="none"/>
        </w:rPr>
        <w:t xml:space="preserve">achieving closure earnings over SGA </w:t>
      </w:r>
      <w:r w:rsidR="001A6DD7" w:rsidRPr="00707DF2">
        <w:rPr>
          <w:rFonts w:ascii="Corbel" w:hAnsi="Corbel" w:cs="Arial"/>
          <w:sz w:val="26"/>
          <w:szCs w:val="26"/>
          <w:u w:val="none"/>
        </w:rPr>
        <w:t>decreased by approximately 12%.</w:t>
      </w:r>
    </w:p>
    <w:p w14:paraId="444FB08B" w14:textId="6138DFE8" w:rsidR="001A6DD7" w:rsidRPr="00707DF2" w:rsidRDefault="001A6DD7" w:rsidP="00E672C6">
      <w:pPr>
        <w:pStyle w:val="ListParagraph"/>
        <w:numPr>
          <w:ilvl w:val="0"/>
          <w:numId w:val="14"/>
        </w:numPr>
        <w:rPr>
          <w:rFonts w:ascii="Corbel" w:hAnsi="Corbel" w:cs="Arial"/>
          <w:sz w:val="26"/>
          <w:szCs w:val="26"/>
          <w:u w:val="none"/>
        </w:rPr>
      </w:pPr>
      <w:r w:rsidRPr="00707DF2">
        <w:rPr>
          <w:rFonts w:ascii="Corbel" w:hAnsi="Corbel" w:cs="Arial"/>
          <w:sz w:val="26"/>
          <w:szCs w:val="26"/>
          <w:u w:val="none"/>
        </w:rPr>
        <w:t xml:space="preserve">Considering </w:t>
      </w:r>
      <w:r w:rsidR="006C361B" w:rsidRPr="00707DF2">
        <w:rPr>
          <w:rFonts w:ascii="Corbel" w:hAnsi="Corbel" w:cs="Arial"/>
          <w:sz w:val="26"/>
          <w:szCs w:val="26"/>
          <w:u w:val="none"/>
        </w:rPr>
        <w:t>gender by itself, female</w:t>
      </w:r>
      <w:r w:rsidR="0015226A" w:rsidRPr="00707DF2">
        <w:rPr>
          <w:rFonts w:ascii="Corbel" w:hAnsi="Corbel" w:cs="Arial"/>
          <w:sz w:val="26"/>
          <w:szCs w:val="26"/>
          <w:u w:val="none"/>
        </w:rPr>
        <w:t>—c</w:t>
      </w:r>
      <w:r w:rsidR="006C361B" w:rsidRPr="00707DF2">
        <w:rPr>
          <w:rFonts w:ascii="Corbel" w:hAnsi="Corbel" w:cs="Arial"/>
          <w:sz w:val="26"/>
          <w:szCs w:val="26"/>
          <w:u w:val="none"/>
        </w:rPr>
        <w:t>ompared to male</w:t>
      </w:r>
      <w:r w:rsidR="0015226A" w:rsidRPr="00707DF2">
        <w:rPr>
          <w:rFonts w:ascii="Corbel" w:hAnsi="Corbel" w:cs="Arial"/>
          <w:sz w:val="26"/>
          <w:szCs w:val="26"/>
          <w:u w:val="none"/>
        </w:rPr>
        <w:t>—c</w:t>
      </w:r>
      <w:r w:rsidR="005965A2" w:rsidRPr="00707DF2">
        <w:rPr>
          <w:rFonts w:ascii="Corbel" w:hAnsi="Corbel" w:cs="Arial"/>
          <w:sz w:val="26"/>
          <w:szCs w:val="26"/>
          <w:u w:val="none"/>
        </w:rPr>
        <w:t>onsumers had</w:t>
      </w:r>
      <w:r w:rsidR="006C361B" w:rsidRPr="00707DF2">
        <w:rPr>
          <w:rFonts w:ascii="Corbel" w:hAnsi="Corbel" w:cs="Arial"/>
          <w:sz w:val="26"/>
          <w:szCs w:val="26"/>
          <w:u w:val="none"/>
        </w:rPr>
        <w:t xml:space="preserve"> 38% lower odds of achieving prime candidacy</w:t>
      </w:r>
      <w:r w:rsidR="0015226A" w:rsidRPr="00707DF2">
        <w:rPr>
          <w:rFonts w:ascii="Corbel" w:hAnsi="Corbel" w:cs="Arial"/>
          <w:sz w:val="26"/>
          <w:szCs w:val="26"/>
          <w:u w:val="none"/>
        </w:rPr>
        <w:t>/earnings over SGA</w:t>
      </w:r>
      <w:r w:rsidR="006C361B" w:rsidRPr="00707DF2">
        <w:rPr>
          <w:rFonts w:ascii="Corbel" w:hAnsi="Corbel" w:cs="Arial"/>
          <w:sz w:val="26"/>
          <w:szCs w:val="26"/>
          <w:u w:val="none"/>
        </w:rPr>
        <w:t xml:space="preserve">. However, this effect was different when type of agency structure was </w:t>
      </w:r>
      <w:r w:rsidR="007222C7" w:rsidRPr="00707DF2">
        <w:rPr>
          <w:rFonts w:ascii="Corbel" w:hAnsi="Corbel" w:cs="Arial"/>
          <w:sz w:val="26"/>
          <w:szCs w:val="26"/>
          <w:u w:val="none"/>
        </w:rPr>
        <w:t xml:space="preserve">also </w:t>
      </w:r>
      <w:r w:rsidR="00713108">
        <w:rPr>
          <w:rFonts w:ascii="Corbel" w:hAnsi="Corbel" w:cs="Arial"/>
          <w:sz w:val="26"/>
          <w:szCs w:val="26"/>
          <w:u w:val="none"/>
        </w:rPr>
        <w:t>considered.</w:t>
      </w:r>
    </w:p>
    <w:p w14:paraId="4034ADB2" w14:textId="2C3B8ABB" w:rsidR="00BA62FD" w:rsidRPr="00707DF2" w:rsidRDefault="005965A2" w:rsidP="00E672C6">
      <w:pPr>
        <w:pStyle w:val="ListParagraph"/>
        <w:numPr>
          <w:ilvl w:val="0"/>
          <w:numId w:val="14"/>
        </w:numPr>
        <w:rPr>
          <w:rFonts w:ascii="Corbel" w:hAnsi="Corbel" w:cs="Arial"/>
          <w:sz w:val="26"/>
          <w:szCs w:val="26"/>
          <w:u w:val="none"/>
        </w:rPr>
      </w:pPr>
      <w:r w:rsidRPr="00707DF2">
        <w:rPr>
          <w:rFonts w:ascii="Corbel" w:hAnsi="Corbel" w:cs="Arial"/>
          <w:sz w:val="26"/>
          <w:szCs w:val="26"/>
          <w:u w:val="none"/>
        </w:rPr>
        <w:t xml:space="preserve">There was an interaction of gender and agency structure type. </w:t>
      </w:r>
      <w:r w:rsidR="00BA62FD" w:rsidRPr="00707DF2">
        <w:rPr>
          <w:rFonts w:ascii="Corbel" w:hAnsi="Corbel" w:cs="Arial"/>
          <w:sz w:val="26"/>
          <w:szCs w:val="26"/>
          <w:u w:val="none"/>
        </w:rPr>
        <w:t xml:space="preserve">Females tended to have higher odds of </w:t>
      </w:r>
      <w:r w:rsidR="001F5A03" w:rsidRPr="00707DF2">
        <w:rPr>
          <w:rFonts w:ascii="Corbel" w:hAnsi="Corbel" w:cs="Arial"/>
          <w:sz w:val="26"/>
          <w:szCs w:val="26"/>
          <w:u w:val="none"/>
        </w:rPr>
        <w:t>earnings over SGA</w:t>
      </w:r>
      <w:r w:rsidR="00BA62FD" w:rsidRPr="00707DF2">
        <w:rPr>
          <w:rFonts w:ascii="Corbel" w:hAnsi="Corbel" w:cs="Arial"/>
          <w:sz w:val="26"/>
          <w:szCs w:val="26"/>
          <w:u w:val="none"/>
        </w:rPr>
        <w:t xml:space="preserve"> when served in blind agencies, whereas males’ succes</w:t>
      </w:r>
      <w:r w:rsidR="00090671" w:rsidRPr="00707DF2">
        <w:rPr>
          <w:rFonts w:ascii="Corbel" w:hAnsi="Corbel" w:cs="Arial"/>
          <w:sz w:val="26"/>
          <w:szCs w:val="26"/>
          <w:u w:val="none"/>
        </w:rPr>
        <w:t xml:space="preserve">s essentially was unaffected by agency </w:t>
      </w:r>
      <w:r w:rsidR="00713108">
        <w:rPr>
          <w:rFonts w:ascii="Corbel" w:hAnsi="Corbel" w:cs="Arial"/>
          <w:sz w:val="26"/>
          <w:szCs w:val="26"/>
          <w:u w:val="none"/>
        </w:rPr>
        <w:t>structure type.</w:t>
      </w:r>
    </w:p>
    <w:p w14:paraId="3FF86067" w14:textId="0345E095" w:rsidR="005965A2" w:rsidRPr="00707DF2" w:rsidRDefault="005965A2" w:rsidP="00E672C6">
      <w:pPr>
        <w:pStyle w:val="ListParagraph"/>
        <w:numPr>
          <w:ilvl w:val="0"/>
          <w:numId w:val="14"/>
        </w:numPr>
        <w:rPr>
          <w:rFonts w:ascii="Corbel" w:hAnsi="Corbel" w:cs="Arial"/>
          <w:sz w:val="26"/>
          <w:szCs w:val="26"/>
          <w:u w:val="none"/>
        </w:rPr>
      </w:pPr>
      <w:r w:rsidRPr="00707DF2">
        <w:rPr>
          <w:rFonts w:ascii="Corbel" w:hAnsi="Corbel" w:cs="Arial"/>
          <w:sz w:val="26"/>
          <w:szCs w:val="26"/>
          <w:u w:val="none"/>
        </w:rPr>
        <w:t xml:space="preserve">Considering age at application by itself, older age was linked with </w:t>
      </w:r>
      <w:r w:rsidR="009F61DB" w:rsidRPr="00707DF2">
        <w:rPr>
          <w:rFonts w:ascii="Corbel" w:hAnsi="Corbel" w:cs="Arial"/>
          <w:sz w:val="26"/>
          <w:szCs w:val="26"/>
          <w:u w:val="none"/>
        </w:rPr>
        <w:t xml:space="preserve">an overall </w:t>
      </w:r>
      <w:r w:rsidR="0015226A" w:rsidRPr="00707DF2">
        <w:rPr>
          <w:rFonts w:ascii="Corbel" w:hAnsi="Corbel" w:cs="Arial"/>
          <w:sz w:val="26"/>
          <w:szCs w:val="26"/>
          <w:u w:val="none"/>
        </w:rPr>
        <w:t xml:space="preserve">average </w:t>
      </w:r>
      <w:r w:rsidRPr="00707DF2">
        <w:rPr>
          <w:rFonts w:ascii="Corbel" w:hAnsi="Corbel" w:cs="Arial"/>
          <w:sz w:val="26"/>
          <w:szCs w:val="26"/>
          <w:u w:val="none"/>
        </w:rPr>
        <w:t>declin</w:t>
      </w:r>
      <w:r w:rsidR="009F61DB" w:rsidRPr="00707DF2">
        <w:rPr>
          <w:rFonts w:ascii="Corbel" w:hAnsi="Corbel" w:cs="Arial"/>
          <w:sz w:val="26"/>
          <w:szCs w:val="26"/>
          <w:u w:val="none"/>
        </w:rPr>
        <w:t xml:space="preserve">e in </w:t>
      </w:r>
      <w:r w:rsidRPr="00707DF2">
        <w:rPr>
          <w:rFonts w:ascii="Corbel" w:hAnsi="Corbel" w:cs="Arial"/>
          <w:sz w:val="26"/>
          <w:szCs w:val="26"/>
          <w:u w:val="none"/>
        </w:rPr>
        <w:t>odd</w:t>
      </w:r>
      <w:r w:rsidR="009D5E4E" w:rsidRPr="00707DF2">
        <w:rPr>
          <w:rFonts w:ascii="Corbel" w:hAnsi="Corbel" w:cs="Arial"/>
          <w:sz w:val="26"/>
          <w:szCs w:val="26"/>
          <w:u w:val="none"/>
        </w:rPr>
        <w:t>s</w:t>
      </w:r>
      <w:r w:rsidRPr="00707DF2">
        <w:rPr>
          <w:rFonts w:ascii="Corbel" w:hAnsi="Corbel" w:cs="Arial"/>
          <w:sz w:val="26"/>
          <w:szCs w:val="26"/>
          <w:u w:val="none"/>
        </w:rPr>
        <w:t xml:space="preserve"> of </w:t>
      </w:r>
      <w:r w:rsidR="009F61DB" w:rsidRPr="00707DF2">
        <w:rPr>
          <w:rFonts w:ascii="Corbel" w:hAnsi="Corbel" w:cs="Arial"/>
          <w:sz w:val="26"/>
          <w:szCs w:val="26"/>
          <w:u w:val="none"/>
        </w:rPr>
        <w:t xml:space="preserve">achieving prime candidacy status—a 19% decrease in likelihood for </w:t>
      </w:r>
      <w:r w:rsidR="009A7BCC" w:rsidRPr="00707DF2">
        <w:rPr>
          <w:rFonts w:ascii="Corbel" w:hAnsi="Corbel" w:cs="Arial"/>
          <w:sz w:val="26"/>
          <w:szCs w:val="26"/>
          <w:u w:val="none"/>
        </w:rPr>
        <w:t>a 5-year increase in age.</w:t>
      </w:r>
      <w:r w:rsidR="0015226A" w:rsidRPr="00707DF2">
        <w:rPr>
          <w:rFonts w:ascii="Corbel" w:hAnsi="Corbel" w:cs="Arial"/>
          <w:sz w:val="26"/>
          <w:szCs w:val="26"/>
          <w:u w:val="none"/>
        </w:rPr>
        <w:t xml:space="preserve"> For example, compared to a consumer who was age 45 at application, one who was age 50 would have a 19% decrease in likelihood of achieving closure earnings over SGA.</w:t>
      </w:r>
    </w:p>
    <w:p w14:paraId="5FE5BCD8" w14:textId="43617287" w:rsidR="001A59BC" w:rsidRPr="00707DF2" w:rsidRDefault="009F61DB" w:rsidP="00E672C6">
      <w:pPr>
        <w:pStyle w:val="ListParagraph"/>
        <w:numPr>
          <w:ilvl w:val="0"/>
          <w:numId w:val="14"/>
        </w:numPr>
        <w:rPr>
          <w:rFonts w:ascii="Corbel" w:hAnsi="Corbel"/>
          <w:sz w:val="26"/>
          <w:szCs w:val="26"/>
          <w:u w:val="none"/>
        </w:rPr>
      </w:pPr>
      <w:r w:rsidRPr="00707DF2">
        <w:rPr>
          <w:rFonts w:ascii="Corbel" w:hAnsi="Corbel" w:cs="Arial"/>
          <w:sz w:val="26"/>
          <w:szCs w:val="26"/>
          <w:u w:val="none"/>
        </w:rPr>
        <w:t xml:space="preserve">Also, there was an interaction of </w:t>
      </w:r>
      <w:r w:rsidRPr="00707DF2">
        <w:rPr>
          <w:rFonts w:ascii="Corbel" w:hAnsi="Corbel" w:cs="Arial"/>
          <w:i/>
          <w:sz w:val="26"/>
          <w:szCs w:val="26"/>
          <w:u w:val="none"/>
        </w:rPr>
        <w:t>age</w:t>
      </w:r>
      <w:r w:rsidRPr="00707DF2">
        <w:rPr>
          <w:rFonts w:ascii="Corbel" w:hAnsi="Corbel" w:cs="Arial"/>
          <w:sz w:val="26"/>
          <w:szCs w:val="26"/>
          <w:u w:val="none"/>
        </w:rPr>
        <w:t xml:space="preserve"> and </w:t>
      </w:r>
      <w:r w:rsidRPr="00707DF2">
        <w:rPr>
          <w:rFonts w:ascii="Corbel" w:hAnsi="Corbel" w:cs="Arial"/>
          <w:i/>
          <w:sz w:val="26"/>
          <w:szCs w:val="26"/>
          <w:u w:val="none"/>
        </w:rPr>
        <w:t>agency structure</w:t>
      </w:r>
      <w:r w:rsidRPr="00707DF2">
        <w:rPr>
          <w:rFonts w:ascii="Corbel" w:hAnsi="Corbel" w:cs="Arial"/>
          <w:sz w:val="26"/>
          <w:szCs w:val="26"/>
          <w:u w:val="none"/>
        </w:rPr>
        <w:t xml:space="preserve"> as related to achieving SGA earnings, and the </w:t>
      </w:r>
      <w:r w:rsidR="00AE0218" w:rsidRPr="00707DF2">
        <w:rPr>
          <w:rFonts w:ascii="Corbel" w:hAnsi="Corbel" w:cs="Arial"/>
          <w:sz w:val="26"/>
          <w:szCs w:val="26"/>
          <w:u w:val="none"/>
        </w:rPr>
        <w:t xml:space="preserve">decline did not fit a straight line </w:t>
      </w:r>
      <w:r w:rsidR="00057246" w:rsidRPr="00707DF2">
        <w:rPr>
          <w:rFonts w:ascii="Corbel" w:hAnsi="Corbel" w:cs="Arial"/>
          <w:sz w:val="26"/>
          <w:szCs w:val="26"/>
          <w:u w:val="none"/>
        </w:rPr>
        <w:t xml:space="preserve">(linear) </w:t>
      </w:r>
      <w:r w:rsidR="00AE0218" w:rsidRPr="00707DF2">
        <w:rPr>
          <w:rFonts w:ascii="Corbel" w:hAnsi="Corbel" w:cs="Arial"/>
          <w:sz w:val="26"/>
          <w:szCs w:val="26"/>
          <w:u w:val="none"/>
        </w:rPr>
        <w:t>pattern.</w:t>
      </w:r>
      <w:r w:rsidR="00713108">
        <w:rPr>
          <w:rFonts w:ascii="Corbel" w:hAnsi="Corbel" w:cs="Arial"/>
          <w:sz w:val="26"/>
          <w:szCs w:val="26"/>
          <w:u w:val="none"/>
        </w:rPr>
        <w:t xml:space="preserve"> </w:t>
      </w:r>
      <w:r w:rsidR="00AE0218" w:rsidRPr="00707DF2">
        <w:rPr>
          <w:rFonts w:ascii="Corbel" w:hAnsi="Corbel" w:cs="Arial"/>
          <w:sz w:val="26"/>
          <w:szCs w:val="26"/>
          <w:u w:val="none"/>
        </w:rPr>
        <w:t>Although there is a general decline in candidacy rate with age, there appears to be a definite advantage for those served in blind agencies except for the approximate age 36 to 45 range.</w:t>
      </w:r>
      <w:r w:rsidR="00707DF2">
        <w:rPr>
          <w:rFonts w:ascii="Corbel" w:hAnsi="Corbel" w:cs="Arial"/>
          <w:sz w:val="26"/>
          <w:szCs w:val="26"/>
          <w:u w:val="none"/>
        </w:rPr>
        <w:t xml:space="preserve"> </w:t>
      </w:r>
      <w:r w:rsidR="001A59BC" w:rsidRPr="00707DF2">
        <w:rPr>
          <w:rFonts w:ascii="Corbel" w:hAnsi="Corbel"/>
          <w:sz w:val="26"/>
          <w:szCs w:val="26"/>
          <w:u w:val="none"/>
        </w:rPr>
        <w:t xml:space="preserve">Our interaction findings indicate that the negative influences of age for </w:t>
      </w:r>
      <w:r w:rsidR="002206CF" w:rsidRPr="00707DF2">
        <w:rPr>
          <w:rFonts w:ascii="Corbel" w:hAnsi="Corbel"/>
          <w:sz w:val="26"/>
          <w:szCs w:val="26"/>
          <w:u w:val="none"/>
        </w:rPr>
        <w:t>SSDI</w:t>
      </w:r>
      <w:r w:rsidR="001A59BC" w:rsidRPr="00707DF2">
        <w:rPr>
          <w:rFonts w:ascii="Corbel" w:hAnsi="Corbel"/>
          <w:sz w:val="26"/>
          <w:szCs w:val="26"/>
          <w:u w:val="none"/>
        </w:rPr>
        <w:t xml:space="preserve"> beneficiaries who are BVI can be mitigated by receiving services in separate state VR</w:t>
      </w:r>
      <w:r w:rsidR="004A2558" w:rsidRPr="00707DF2">
        <w:rPr>
          <w:rFonts w:ascii="Corbel" w:hAnsi="Corbel"/>
          <w:sz w:val="26"/>
          <w:szCs w:val="26"/>
          <w:u w:val="none"/>
        </w:rPr>
        <w:t xml:space="preserve"> agencies serving BVI consumers. This further adds</w:t>
      </w:r>
      <w:r w:rsidR="001A59BC" w:rsidRPr="00707DF2">
        <w:rPr>
          <w:rFonts w:ascii="Corbel" w:hAnsi="Corbel"/>
          <w:sz w:val="26"/>
          <w:szCs w:val="26"/>
          <w:u w:val="none"/>
        </w:rPr>
        <w:t xml:space="preserve"> to the literature pointing to </w:t>
      </w:r>
      <w:r w:rsidR="00322197">
        <w:rPr>
          <w:rFonts w:ascii="Corbel" w:hAnsi="Corbel"/>
          <w:sz w:val="26"/>
          <w:szCs w:val="26"/>
          <w:u w:val="none"/>
        </w:rPr>
        <w:t>better outcomes for</w:t>
      </w:r>
      <w:r w:rsidR="001A59BC" w:rsidRPr="00707DF2">
        <w:rPr>
          <w:rFonts w:ascii="Corbel" w:hAnsi="Corbel"/>
          <w:sz w:val="26"/>
          <w:szCs w:val="26"/>
          <w:u w:val="none"/>
        </w:rPr>
        <w:t xml:space="preserve"> </w:t>
      </w:r>
      <w:r w:rsidR="00322197">
        <w:rPr>
          <w:rFonts w:ascii="Corbel" w:hAnsi="Corbel"/>
          <w:sz w:val="26"/>
          <w:szCs w:val="26"/>
          <w:u w:val="none"/>
        </w:rPr>
        <w:t xml:space="preserve">consumers served in </w:t>
      </w:r>
      <w:r w:rsidR="001A59BC" w:rsidRPr="00707DF2">
        <w:rPr>
          <w:rFonts w:ascii="Corbel" w:hAnsi="Corbel"/>
          <w:sz w:val="26"/>
          <w:szCs w:val="26"/>
          <w:u w:val="none"/>
        </w:rPr>
        <w:t>b</w:t>
      </w:r>
      <w:r w:rsidR="00713108">
        <w:rPr>
          <w:rFonts w:ascii="Corbel" w:hAnsi="Corbel"/>
          <w:sz w:val="26"/>
          <w:szCs w:val="26"/>
          <w:u w:val="none"/>
        </w:rPr>
        <w:t>l</w:t>
      </w:r>
      <w:r w:rsidR="001A59BC" w:rsidRPr="00707DF2">
        <w:rPr>
          <w:rFonts w:ascii="Corbel" w:hAnsi="Corbel"/>
          <w:sz w:val="26"/>
          <w:szCs w:val="26"/>
          <w:u w:val="none"/>
        </w:rPr>
        <w:t>ind agencies. Separate blind agencies appear to be most helpful for those younger than mid-30s and mid-40s or older.</w:t>
      </w:r>
      <w:r w:rsidR="00CE48B8" w:rsidRPr="00707DF2">
        <w:rPr>
          <w:rFonts w:ascii="Corbel" w:hAnsi="Corbel"/>
          <w:sz w:val="26"/>
          <w:szCs w:val="26"/>
          <w:u w:val="none"/>
        </w:rPr>
        <w:t xml:space="preserve"> </w:t>
      </w:r>
    </w:p>
    <w:p w14:paraId="0B8AA38E" w14:textId="347F128F" w:rsidR="007051EC" w:rsidRPr="00707DF2" w:rsidRDefault="002629B4" w:rsidP="00E672C6">
      <w:pPr>
        <w:pStyle w:val="ListParagraph"/>
        <w:numPr>
          <w:ilvl w:val="0"/>
          <w:numId w:val="14"/>
        </w:numPr>
        <w:rPr>
          <w:rFonts w:ascii="Corbel" w:hAnsi="Corbel" w:cs="Arial"/>
          <w:sz w:val="26"/>
          <w:szCs w:val="26"/>
          <w:u w:val="none"/>
        </w:rPr>
      </w:pPr>
      <w:r w:rsidRPr="00707DF2">
        <w:rPr>
          <w:rFonts w:ascii="Corbel" w:hAnsi="Corbel" w:cs="Arial"/>
          <w:sz w:val="26"/>
          <w:szCs w:val="26"/>
          <w:u w:val="none"/>
        </w:rPr>
        <w:t xml:space="preserve">African American SSDI-beneficiary consumers were more likely than White consumers to achieve </w:t>
      </w:r>
      <w:r w:rsidR="00A72522" w:rsidRPr="00707DF2">
        <w:rPr>
          <w:rFonts w:ascii="Corbel" w:hAnsi="Corbel" w:cs="Arial"/>
          <w:sz w:val="26"/>
          <w:szCs w:val="26"/>
          <w:u w:val="none"/>
        </w:rPr>
        <w:t xml:space="preserve">earnings </w:t>
      </w:r>
      <w:r w:rsidRPr="00707DF2">
        <w:rPr>
          <w:rFonts w:ascii="Corbel" w:hAnsi="Corbel" w:cs="Arial"/>
          <w:sz w:val="26"/>
          <w:szCs w:val="26"/>
          <w:u w:val="none"/>
        </w:rPr>
        <w:t xml:space="preserve">over SGA, but this effect was altered depending on </w:t>
      </w:r>
      <w:r w:rsidRPr="00707DF2">
        <w:rPr>
          <w:rFonts w:ascii="Corbel" w:hAnsi="Corbel" w:cs="Arial"/>
          <w:sz w:val="26"/>
          <w:szCs w:val="26"/>
          <w:u w:val="none"/>
        </w:rPr>
        <w:lastRenderedPageBreak/>
        <w:t>state population. As state population increased, the difference favoring African American consumers was reduced.</w:t>
      </w:r>
      <w:r w:rsidR="00D149A4" w:rsidRPr="00707DF2">
        <w:rPr>
          <w:rFonts w:ascii="Corbel" w:hAnsi="Corbel" w:cs="Arial"/>
          <w:sz w:val="26"/>
          <w:szCs w:val="26"/>
          <w:u w:val="none"/>
        </w:rPr>
        <w:t xml:space="preserve"> </w:t>
      </w:r>
      <w:r w:rsidR="00E672C6">
        <w:rPr>
          <w:rFonts w:ascii="Corbel" w:hAnsi="Corbel" w:cs="Arial"/>
          <w:sz w:val="26"/>
          <w:szCs w:val="26"/>
          <w:u w:val="none"/>
        </w:rPr>
        <w:t>T</w:t>
      </w:r>
      <w:r w:rsidRPr="00707DF2">
        <w:rPr>
          <w:rFonts w:ascii="Corbel" w:hAnsi="Corbel" w:cs="Arial"/>
          <w:sz w:val="26"/>
          <w:szCs w:val="26"/>
          <w:u w:val="none"/>
        </w:rPr>
        <w:t xml:space="preserve">here were no significant differences for any other race or ethnicity categories. </w:t>
      </w:r>
      <w:r w:rsidR="00AB1EB9" w:rsidRPr="00707DF2">
        <w:rPr>
          <w:rFonts w:ascii="Corbel" w:hAnsi="Corbel" w:cs="Arial"/>
          <w:sz w:val="26"/>
          <w:szCs w:val="26"/>
          <w:u w:val="none"/>
        </w:rPr>
        <w:br/>
      </w:r>
    </w:p>
    <w:p w14:paraId="60B14671" w14:textId="11188A9A" w:rsidR="00D149A4" w:rsidRPr="00E853D0" w:rsidRDefault="00D149A4" w:rsidP="00CE3B40">
      <w:pPr>
        <w:pStyle w:val="ListParagraph"/>
        <w:ind w:left="0"/>
        <w:rPr>
          <w:rFonts w:ascii="Corbel" w:hAnsi="Corbel" w:cs="Arial"/>
          <w:sz w:val="26"/>
          <w:szCs w:val="26"/>
          <w:u w:val="none"/>
        </w:rPr>
      </w:pPr>
      <w:r w:rsidRPr="00E853D0">
        <w:rPr>
          <w:rFonts w:ascii="Corbel" w:hAnsi="Corbel" w:cs="Arial"/>
          <w:b/>
          <w:sz w:val="26"/>
          <w:szCs w:val="26"/>
          <w:u w:val="none"/>
        </w:rPr>
        <w:t>Disability-Related Factors</w:t>
      </w:r>
    </w:p>
    <w:p w14:paraId="0BE83E50" w14:textId="6D9A53D9" w:rsidR="00CE3B40" w:rsidRPr="00707DF2" w:rsidRDefault="00D149A4" w:rsidP="00E672C6">
      <w:pPr>
        <w:pStyle w:val="ListParagraph"/>
        <w:numPr>
          <w:ilvl w:val="0"/>
          <w:numId w:val="14"/>
        </w:numPr>
        <w:rPr>
          <w:rFonts w:ascii="Corbel" w:hAnsi="Corbel" w:cs="Arial"/>
          <w:sz w:val="26"/>
          <w:szCs w:val="26"/>
          <w:u w:val="none"/>
        </w:rPr>
      </w:pPr>
      <w:r w:rsidRPr="00707DF2">
        <w:rPr>
          <w:rFonts w:ascii="Corbel" w:hAnsi="Corbel" w:cs="Arial"/>
          <w:sz w:val="26"/>
          <w:szCs w:val="26"/>
          <w:u w:val="none"/>
        </w:rPr>
        <w:t xml:space="preserve">Having a cognitive secondary disability was a disadvantage factor for achieving earnings over SGA. A consumer with a cognitive secondary disability has about 81% lower odds of achieving </w:t>
      </w:r>
      <w:r w:rsidR="00AE0B74">
        <w:rPr>
          <w:rFonts w:ascii="Corbel" w:hAnsi="Corbel" w:cs="Arial"/>
          <w:sz w:val="26"/>
          <w:szCs w:val="26"/>
          <w:u w:val="none"/>
        </w:rPr>
        <w:t xml:space="preserve">prime </w:t>
      </w:r>
      <w:r w:rsidRPr="00707DF2">
        <w:rPr>
          <w:rFonts w:ascii="Corbel" w:hAnsi="Corbel" w:cs="Arial"/>
          <w:sz w:val="26"/>
          <w:szCs w:val="26"/>
          <w:u w:val="none"/>
        </w:rPr>
        <w:t>candidacy than one who does n</w:t>
      </w:r>
      <w:r w:rsidR="00E672C6">
        <w:rPr>
          <w:rFonts w:ascii="Corbel" w:hAnsi="Corbel" w:cs="Arial"/>
          <w:sz w:val="26"/>
          <w:szCs w:val="26"/>
          <w:u w:val="none"/>
        </w:rPr>
        <w:t>ot have a cognitive disability.</w:t>
      </w:r>
    </w:p>
    <w:p w14:paraId="67AB2DB2" w14:textId="548FA969" w:rsidR="006B642C" w:rsidRPr="00707DF2" w:rsidRDefault="00CE3B40" w:rsidP="00E672C6">
      <w:pPr>
        <w:pStyle w:val="ListParagraph"/>
        <w:numPr>
          <w:ilvl w:val="0"/>
          <w:numId w:val="14"/>
        </w:numPr>
        <w:rPr>
          <w:rFonts w:ascii="Corbel" w:hAnsi="Corbel" w:cs="Arial"/>
          <w:sz w:val="26"/>
          <w:szCs w:val="26"/>
          <w:u w:val="none"/>
        </w:rPr>
      </w:pPr>
      <w:r w:rsidRPr="00707DF2">
        <w:rPr>
          <w:rFonts w:ascii="Corbel" w:hAnsi="Corbel" w:cs="Arial"/>
          <w:sz w:val="26"/>
          <w:szCs w:val="26"/>
          <w:u w:val="none"/>
        </w:rPr>
        <w:t>Also, having a non</w:t>
      </w:r>
      <w:r w:rsidR="00707DF2">
        <w:rPr>
          <w:rFonts w:ascii="Corbel" w:hAnsi="Corbel" w:cs="Arial"/>
          <w:sz w:val="26"/>
          <w:szCs w:val="26"/>
          <w:u w:val="none"/>
        </w:rPr>
        <w:t>-</w:t>
      </w:r>
      <w:r w:rsidRPr="00707DF2">
        <w:rPr>
          <w:rFonts w:ascii="Corbel" w:hAnsi="Corbel" w:cs="Arial"/>
          <w:sz w:val="26"/>
          <w:szCs w:val="26"/>
          <w:u w:val="none"/>
        </w:rPr>
        <w:t>cognitive secondary disability also was a negative factor (odds of candidacy about 40% lower if the consumer has a non</w:t>
      </w:r>
      <w:r w:rsidR="00707DF2">
        <w:rPr>
          <w:rFonts w:ascii="Corbel" w:hAnsi="Corbel" w:cs="Arial"/>
          <w:sz w:val="26"/>
          <w:szCs w:val="26"/>
          <w:u w:val="none"/>
        </w:rPr>
        <w:t>-</w:t>
      </w:r>
      <w:r w:rsidRPr="00707DF2">
        <w:rPr>
          <w:rFonts w:ascii="Corbel" w:hAnsi="Corbel" w:cs="Arial"/>
          <w:sz w:val="26"/>
          <w:szCs w:val="26"/>
          <w:u w:val="none"/>
        </w:rPr>
        <w:t>cognitive disability) in addition to visual impairment.</w:t>
      </w:r>
    </w:p>
    <w:p w14:paraId="2D04ED11" w14:textId="6AAE81D1" w:rsidR="00021D0E" w:rsidRPr="00707DF2" w:rsidRDefault="00D149A4" w:rsidP="00E672C6">
      <w:pPr>
        <w:pStyle w:val="ListParagraph"/>
        <w:numPr>
          <w:ilvl w:val="0"/>
          <w:numId w:val="14"/>
        </w:numPr>
        <w:rPr>
          <w:rFonts w:ascii="Corbel" w:hAnsi="Corbel" w:cs="Arial"/>
          <w:sz w:val="26"/>
          <w:szCs w:val="26"/>
          <w:u w:val="none"/>
        </w:rPr>
      </w:pPr>
      <w:r w:rsidRPr="00707DF2">
        <w:rPr>
          <w:rFonts w:ascii="Corbel" w:hAnsi="Corbel" w:cs="Arial"/>
          <w:sz w:val="26"/>
          <w:szCs w:val="26"/>
          <w:u w:val="none"/>
        </w:rPr>
        <w:t>Being legally blind, compared to being visually impa</w:t>
      </w:r>
      <w:r w:rsidR="00CE48B8" w:rsidRPr="00707DF2">
        <w:rPr>
          <w:rFonts w:ascii="Corbel" w:hAnsi="Corbel" w:cs="Arial"/>
          <w:sz w:val="26"/>
          <w:szCs w:val="26"/>
          <w:u w:val="none"/>
        </w:rPr>
        <w:t xml:space="preserve">ired, </w:t>
      </w:r>
      <w:r w:rsidR="006B642C" w:rsidRPr="00707DF2">
        <w:rPr>
          <w:rFonts w:ascii="Corbel" w:hAnsi="Corbel" w:cs="Arial"/>
          <w:sz w:val="26"/>
          <w:szCs w:val="26"/>
          <w:u w:val="none"/>
        </w:rPr>
        <w:t xml:space="preserve">did </w:t>
      </w:r>
      <w:r w:rsidR="006B642C" w:rsidRPr="00707DF2">
        <w:rPr>
          <w:rFonts w:ascii="Corbel" w:hAnsi="Corbel" w:cs="Arial"/>
          <w:i/>
          <w:sz w:val="26"/>
          <w:szCs w:val="26"/>
          <w:u w:val="none"/>
        </w:rPr>
        <w:t>not</w:t>
      </w:r>
      <w:r w:rsidR="006B642C" w:rsidRPr="00707DF2">
        <w:rPr>
          <w:rFonts w:ascii="Corbel" w:hAnsi="Corbel" w:cs="Arial"/>
          <w:sz w:val="26"/>
          <w:szCs w:val="26"/>
          <w:u w:val="none"/>
        </w:rPr>
        <w:t xml:space="preserve"> help or hurt the likelihood of achieving earnings over SGA. </w:t>
      </w:r>
      <w:r w:rsidR="00C046EC" w:rsidRPr="00707DF2">
        <w:rPr>
          <w:rFonts w:ascii="Corbel" w:hAnsi="Corbel" w:cs="Arial"/>
          <w:sz w:val="26"/>
          <w:szCs w:val="26"/>
          <w:u w:val="none"/>
        </w:rPr>
        <w:br/>
      </w:r>
    </w:p>
    <w:p w14:paraId="05B2245F" w14:textId="7589E333" w:rsidR="00C75AEB" w:rsidRPr="00E853D0" w:rsidRDefault="0091055D" w:rsidP="00D126EB">
      <w:pPr>
        <w:ind w:left="0" w:firstLine="0"/>
        <w:rPr>
          <w:rFonts w:ascii="Corbel" w:hAnsi="Corbel"/>
          <w:sz w:val="26"/>
          <w:szCs w:val="26"/>
          <w:u w:val="none"/>
        </w:rPr>
      </w:pPr>
      <w:r w:rsidRPr="00E853D0">
        <w:rPr>
          <w:rFonts w:ascii="Corbel" w:hAnsi="Corbel"/>
          <w:b/>
          <w:sz w:val="26"/>
          <w:szCs w:val="26"/>
          <w:u w:val="none"/>
        </w:rPr>
        <w:t>Socioeconomic Factors</w:t>
      </w:r>
    </w:p>
    <w:p w14:paraId="1E2A15D3" w14:textId="26630B78" w:rsidR="00C75AEB" w:rsidRPr="00707DF2" w:rsidRDefault="00C75AEB" w:rsidP="00E672C6">
      <w:pPr>
        <w:pStyle w:val="ListParagraph"/>
        <w:numPr>
          <w:ilvl w:val="0"/>
          <w:numId w:val="14"/>
        </w:numPr>
        <w:rPr>
          <w:rFonts w:ascii="Corbel" w:hAnsi="Corbel" w:cs="Arial"/>
          <w:sz w:val="26"/>
          <w:szCs w:val="26"/>
          <w:u w:val="none"/>
        </w:rPr>
      </w:pPr>
      <w:r w:rsidRPr="00707DF2">
        <w:rPr>
          <w:rFonts w:ascii="Corbel" w:hAnsi="Corbel" w:cs="Arial"/>
          <w:sz w:val="26"/>
          <w:szCs w:val="26"/>
          <w:u w:val="none"/>
        </w:rPr>
        <w:t xml:space="preserve">A higher level of education </w:t>
      </w:r>
      <w:r w:rsidR="003123EC" w:rsidRPr="00707DF2">
        <w:rPr>
          <w:rFonts w:ascii="Corbel" w:hAnsi="Corbel" w:cs="Arial"/>
          <w:sz w:val="26"/>
          <w:szCs w:val="26"/>
          <w:u w:val="none"/>
        </w:rPr>
        <w:t xml:space="preserve">at application </w:t>
      </w:r>
      <w:r w:rsidRPr="00707DF2">
        <w:rPr>
          <w:rFonts w:ascii="Corbel" w:hAnsi="Corbel" w:cs="Arial"/>
          <w:sz w:val="26"/>
          <w:szCs w:val="26"/>
          <w:u w:val="none"/>
        </w:rPr>
        <w:t xml:space="preserve">was associated with a greater chance of achieving </w:t>
      </w:r>
      <w:r w:rsidR="00CE48B8" w:rsidRPr="00707DF2">
        <w:rPr>
          <w:rFonts w:ascii="Corbel" w:hAnsi="Corbel" w:cs="Arial"/>
          <w:sz w:val="26"/>
          <w:szCs w:val="26"/>
          <w:u w:val="none"/>
        </w:rPr>
        <w:t>earnings over SGA</w:t>
      </w:r>
      <w:r w:rsidRPr="00707DF2">
        <w:rPr>
          <w:rFonts w:ascii="Corbel" w:hAnsi="Corbel" w:cs="Arial"/>
          <w:sz w:val="26"/>
          <w:szCs w:val="26"/>
          <w:u w:val="none"/>
        </w:rPr>
        <w:t>.</w:t>
      </w:r>
    </w:p>
    <w:p w14:paraId="3CE56E43" w14:textId="39967733" w:rsidR="00E853D0" w:rsidRPr="00AE0B74" w:rsidRDefault="00021D0E" w:rsidP="00E672C6">
      <w:pPr>
        <w:pStyle w:val="ListParagraph"/>
        <w:numPr>
          <w:ilvl w:val="0"/>
          <w:numId w:val="14"/>
        </w:numPr>
        <w:rPr>
          <w:rFonts w:ascii="Corbel" w:hAnsi="Corbel" w:cs="Arial"/>
          <w:sz w:val="26"/>
          <w:szCs w:val="26"/>
          <w:u w:val="none"/>
        </w:rPr>
      </w:pPr>
      <w:r w:rsidRPr="00AE0B74">
        <w:rPr>
          <w:rFonts w:ascii="Corbel" w:hAnsi="Corbel" w:cs="Arial"/>
          <w:sz w:val="26"/>
          <w:szCs w:val="26"/>
          <w:u w:val="none"/>
        </w:rPr>
        <w:t xml:space="preserve">Greater amount of </w:t>
      </w:r>
      <w:r w:rsidR="00696C58" w:rsidRPr="00AE0B74">
        <w:rPr>
          <w:rFonts w:ascii="Corbel" w:hAnsi="Corbel" w:cs="Arial"/>
          <w:sz w:val="26"/>
          <w:szCs w:val="26"/>
          <w:u w:val="none"/>
        </w:rPr>
        <w:t xml:space="preserve">(a) weekly earnings at application and (b) </w:t>
      </w:r>
      <w:r w:rsidRPr="00AE0B74">
        <w:rPr>
          <w:rFonts w:ascii="Corbel" w:hAnsi="Corbel" w:cs="Arial"/>
          <w:sz w:val="26"/>
          <w:szCs w:val="26"/>
          <w:u w:val="none"/>
        </w:rPr>
        <w:t xml:space="preserve">SSDI benefit at application </w:t>
      </w:r>
      <w:r w:rsidR="00696C58" w:rsidRPr="00AE0B74">
        <w:rPr>
          <w:rFonts w:ascii="Corbel" w:hAnsi="Corbel" w:cs="Arial"/>
          <w:sz w:val="26"/>
          <w:szCs w:val="26"/>
          <w:u w:val="none"/>
        </w:rPr>
        <w:t xml:space="preserve">were both </w:t>
      </w:r>
      <w:r w:rsidRPr="00AE0B74">
        <w:rPr>
          <w:rFonts w:ascii="Corbel" w:hAnsi="Corbel" w:cs="Arial"/>
          <w:sz w:val="26"/>
          <w:szCs w:val="26"/>
          <w:u w:val="none"/>
        </w:rPr>
        <w:t xml:space="preserve">linked to greater likelihood of </w:t>
      </w:r>
      <w:r w:rsidR="00696C58" w:rsidRPr="00AE0B74">
        <w:rPr>
          <w:rFonts w:ascii="Corbel" w:hAnsi="Corbel" w:cs="Arial"/>
          <w:sz w:val="26"/>
          <w:szCs w:val="26"/>
          <w:u w:val="none"/>
        </w:rPr>
        <w:t xml:space="preserve">achieving </w:t>
      </w:r>
      <w:r w:rsidRPr="00AE0B74">
        <w:rPr>
          <w:rFonts w:ascii="Corbel" w:hAnsi="Corbel" w:cs="Arial"/>
          <w:sz w:val="26"/>
          <w:szCs w:val="26"/>
          <w:u w:val="none"/>
        </w:rPr>
        <w:t xml:space="preserve">earnings over SGA. </w:t>
      </w:r>
      <w:r w:rsidR="00696C58" w:rsidRPr="00AE0B74">
        <w:rPr>
          <w:rFonts w:ascii="Corbel" w:hAnsi="Corbel" w:cs="Arial"/>
          <w:sz w:val="26"/>
          <w:szCs w:val="26"/>
          <w:u w:val="none"/>
        </w:rPr>
        <w:t xml:space="preserve">Earnings and SSDI benefits at application provide evidence of work activity and previous work experience, which </w:t>
      </w:r>
      <w:r w:rsidR="00C02D0C" w:rsidRPr="00AE0B74">
        <w:rPr>
          <w:rFonts w:ascii="Corbel" w:hAnsi="Corbel" w:cs="Arial"/>
          <w:sz w:val="26"/>
          <w:szCs w:val="26"/>
          <w:u w:val="none"/>
        </w:rPr>
        <w:t xml:space="preserve">previously </w:t>
      </w:r>
      <w:r w:rsidR="00696C58" w:rsidRPr="00AE0B74">
        <w:rPr>
          <w:rFonts w:ascii="Corbel" w:hAnsi="Corbel" w:cs="Arial"/>
          <w:sz w:val="26"/>
          <w:szCs w:val="26"/>
          <w:u w:val="none"/>
        </w:rPr>
        <w:t>has been shown to be an important predictor of employment</w:t>
      </w:r>
      <w:r w:rsidR="006B729E" w:rsidRPr="00AE0B74">
        <w:rPr>
          <w:rFonts w:ascii="Corbel" w:hAnsi="Corbel" w:cs="Arial"/>
          <w:sz w:val="26"/>
          <w:szCs w:val="26"/>
          <w:u w:val="none"/>
        </w:rPr>
        <w:t>, and, w</w:t>
      </w:r>
      <w:r w:rsidR="00696C58" w:rsidRPr="00AE0B74">
        <w:rPr>
          <w:rFonts w:ascii="Corbel" w:hAnsi="Corbel" w:cs="Arial"/>
          <w:sz w:val="26"/>
          <w:szCs w:val="26"/>
          <w:u w:val="none"/>
        </w:rPr>
        <w:t xml:space="preserve">ith this current finding, </w:t>
      </w:r>
      <w:r w:rsidR="009D5E4E" w:rsidRPr="00AE0B74">
        <w:rPr>
          <w:rFonts w:ascii="Corbel" w:hAnsi="Corbel" w:cs="Arial"/>
          <w:sz w:val="26"/>
          <w:szCs w:val="26"/>
          <w:u w:val="none"/>
        </w:rPr>
        <w:t>level of previous earnings</w:t>
      </w:r>
      <w:r w:rsidR="00696C58" w:rsidRPr="00AE0B74">
        <w:rPr>
          <w:rFonts w:ascii="Corbel" w:hAnsi="Corbel" w:cs="Arial"/>
          <w:sz w:val="26"/>
          <w:szCs w:val="26"/>
          <w:u w:val="none"/>
        </w:rPr>
        <w:t xml:space="preserve"> also appears to be a good predictor of earnings over SGA and pot</w:t>
      </w:r>
      <w:r w:rsidR="00165AB9" w:rsidRPr="00AE0B74">
        <w:rPr>
          <w:rFonts w:ascii="Corbel" w:hAnsi="Corbel" w:cs="Arial"/>
          <w:sz w:val="26"/>
          <w:szCs w:val="26"/>
          <w:u w:val="none"/>
        </w:rPr>
        <w:t>e</w:t>
      </w:r>
      <w:r w:rsidR="00E853D0" w:rsidRPr="00AE0B74">
        <w:rPr>
          <w:rFonts w:ascii="Corbel" w:hAnsi="Corbel" w:cs="Arial"/>
          <w:sz w:val="26"/>
          <w:szCs w:val="26"/>
          <w:u w:val="none"/>
        </w:rPr>
        <w:t xml:space="preserve">ntial for SSDI roll departure. </w:t>
      </w:r>
    </w:p>
    <w:p w14:paraId="0A3B6843" w14:textId="77777777" w:rsidR="00E853D0" w:rsidRDefault="00E853D0" w:rsidP="00E853D0">
      <w:pPr>
        <w:ind w:left="0"/>
        <w:rPr>
          <w:rFonts w:ascii="Corbel" w:hAnsi="Corbel"/>
          <w:b/>
          <w:sz w:val="26"/>
          <w:szCs w:val="26"/>
          <w:u w:val="none"/>
        </w:rPr>
      </w:pPr>
    </w:p>
    <w:p w14:paraId="79FCE97E" w14:textId="45DE10A4" w:rsidR="00021D0E" w:rsidRPr="00E853D0" w:rsidRDefault="00BB4CBD" w:rsidP="00E853D0">
      <w:pPr>
        <w:ind w:left="0" w:firstLine="0"/>
        <w:rPr>
          <w:rFonts w:ascii="Corbel" w:hAnsi="Corbel"/>
          <w:sz w:val="26"/>
          <w:szCs w:val="26"/>
          <w:u w:val="none"/>
        </w:rPr>
      </w:pPr>
      <w:r w:rsidRPr="00E853D0">
        <w:rPr>
          <w:rFonts w:ascii="Corbel" w:hAnsi="Corbel"/>
          <w:b/>
          <w:sz w:val="26"/>
          <w:szCs w:val="26"/>
          <w:u w:val="none"/>
        </w:rPr>
        <w:t>Service Effects</w:t>
      </w:r>
    </w:p>
    <w:p w14:paraId="769687CC" w14:textId="40BBCAC4" w:rsidR="00165AB9" w:rsidRPr="00AE0B74" w:rsidRDefault="00BB4CBD" w:rsidP="00E672C6">
      <w:pPr>
        <w:pStyle w:val="ListParagraph"/>
        <w:numPr>
          <w:ilvl w:val="0"/>
          <w:numId w:val="14"/>
        </w:numPr>
        <w:rPr>
          <w:rFonts w:ascii="Corbel" w:hAnsi="Corbel" w:cs="Arial"/>
          <w:sz w:val="26"/>
          <w:szCs w:val="26"/>
          <w:u w:val="none"/>
        </w:rPr>
      </w:pPr>
      <w:r w:rsidRPr="00AE0B74">
        <w:rPr>
          <w:rFonts w:ascii="Corbel" w:hAnsi="Corbel" w:cs="Arial"/>
          <w:sz w:val="26"/>
          <w:szCs w:val="26"/>
          <w:u w:val="none"/>
        </w:rPr>
        <w:t xml:space="preserve">Receiving more job-related services (job placement and search, and on-the-job supports and training) was associated with increasing odds of achieving </w:t>
      </w:r>
      <w:r w:rsidR="00B74B7C" w:rsidRPr="00AE0B74">
        <w:rPr>
          <w:rFonts w:ascii="Corbel" w:hAnsi="Corbel" w:cs="Arial"/>
          <w:sz w:val="26"/>
          <w:szCs w:val="26"/>
          <w:u w:val="none"/>
        </w:rPr>
        <w:t xml:space="preserve">prime </w:t>
      </w:r>
      <w:r w:rsidRPr="00AE0B74">
        <w:rPr>
          <w:rFonts w:ascii="Corbel" w:hAnsi="Corbel" w:cs="Arial"/>
          <w:sz w:val="26"/>
          <w:szCs w:val="26"/>
          <w:u w:val="none"/>
        </w:rPr>
        <w:t xml:space="preserve">candidacy. For each additional job-related service received, the odds of </w:t>
      </w:r>
      <w:r w:rsidR="006B729E" w:rsidRPr="00AE0B74">
        <w:rPr>
          <w:rFonts w:ascii="Corbel" w:hAnsi="Corbel" w:cs="Arial"/>
          <w:sz w:val="26"/>
          <w:szCs w:val="26"/>
          <w:u w:val="none"/>
        </w:rPr>
        <w:t>earnings over SGA</w:t>
      </w:r>
      <w:r w:rsidRPr="00AE0B74">
        <w:rPr>
          <w:rFonts w:ascii="Corbel" w:hAnsi="Corbel" w:cs="Arial"/>
          <w:sz w:val="26"/>
          <w:szCs w:val="26"/>
          <w:u w:val="none"/>
        </w:rPr>
        <w:t xml:space="preserve"> increased by 28%.</w:t>
      </w:r>
    </w:p>
    <w:p w14:paraId="07E49539" w14:textId="6D79EF21" w:rsidR="00C9062F" w:rsidRPr="00E853D0" w:rsidRDefault="00BB4CBD" w:rsidP="00E672C6">
      <w:pPr>
        <w:pStyle w:val="ListParagraph"/>
        <w:numPr>
          <w:ilvl w:val="0"/>
          <w:numId w:val="14"/>
        </w:numPr>
        <w:rPr>
          <w:rFonts w:ascii="Corbel" w:hAnsi="Corbel" w:cs="Arial"/>
          <w:sz w:val="26"/>
          <w:szCs w:val="26"/>
          <w:u w:val="none"/>
        </w:rPr>
      </w:pPr>
      <w:r w:rsidRPr="00AE0B74">
        <w:rPr>
          <w:rFonts w:ascii="Corbel" w:hAnsi="Corbel" w:cs="Arial"/>
          <w:sz w:val="26"/>
          <w:szCs w:val="26"/>
          <w:u w:val="none"/>
        </w:rPr>
        <w:t xml:space="preserve">Also, the influences </w:t>
      </w:r>
      <w:r w:rsidR="00C02D0C" w:rsidRPr="00AE0B74">
        <w:rPr>
          <w:rFonts w:ascii="Corbel" w:hAnsi="Corbel" w:cs="Arial"/>
          <w:sz w:val="26"/>
          <w:szCs w:val="26"/>
          <w:u w:val="none"/>
        </w:rPr>
        <w:t xml:space="preserve">of job-related services </w:t>
      </w:r>
      <w:proofErr w:type="gramStart"/>
      <w:r w:rsidR="00C02D0C" w:rsidRPr="00AE0B74">
        <w:rPr>
          <w:rFonts w:ascii="Corbel" w:hAnsi="Corbel" w:cs="Arial"/>
          <w:sz w:val="26"/>
          <w:szCs w:val="26"/>
          <w:u w:val="none"/>
        </w:rPr>
        <w:t>depends</w:t>
      </w:r>
      <w:proofErr w:type="gramEnd"/>
      <w:r w:rsidRPr="00AE0B74">
        <w:rPr>
          <w:rFonts w:ascii="Corbel" w:hAnsi="Corbel" w:cs="Arial"/>
          <w:sz w:val="26"/>
          <w:szCs w:val="26"/>
          <w:u w:val="none"/>
        </w:rPr>
        <w:t xml:space="preserve"> on unemployment rate and state per capita income. </w:t>
      </w:r>
      <w:r w:rsidR="00C9062F" w:rsidRPr="00AE0B74">
        <w:rPr>
          <w:rFonts w:ascii="Corbel" w:hAnsi="Corbel" w:cs="Arial"/>
          <w:sz w:val="26"/>
          <w:szCs w:val="26"/>
          <w:u w:val="none"/>
        </w:rPr>
        <w:t>Job-related services are more important when state unemployment rate is high and when the individual resides in states where per capita incomes are higher.</w:t>
      </w:r>
      <w:r w:rsidR="00C9062F" w:rsidRPr="00E853D0">
        <w:rPr>
          <w:rFonts w:ascii="Corbel" w:hAnsi="Corbel" w:cs="Arial"/>
          <w:sz w:val="26"/>
          <w:szCs w:val="26"/>
        </w:rPr>
        <w:t xml:space="preserve"> </w:t>
      </w:r>
      <w:proofErr w:type="gramStart"/>
      <w:r w:rsidR="00C9062F" w:rsidRPr="00E853D0">
        <w:rPr>
          <w:rFonts w:ascii="Corbel" w:hAnsi="Corbel" w:cs="Arial"/>
          <w:sz w:val="26"/>
          <w:szCs w:val="26"/>
          <w:u w:val="none"/>
        </w:rPr>
        <w:t>Both of these</w:t>
      </w:r>
      <w:proofErr w:type="gramEnd"/>
      <w:r w:rsidR="00C9062F" w:rsidRPr="00E853D0">
        <w:rPr>
          <w:rFonts w:ascii="Corbel" w:hAnsi="Corbel" w:cs="Arial"/>
          <w:sz w:val="26"/>
          <w:szCs w:val="26"/>
          <w:u w:val="none"/>
        </w:rPr>
        <w:t xml:space="preserve"> factors suggest situations where high job competition and opportunity for higher-wage jobs probably exist.</w:t>
      </w:r>
    </w:p>
    <w:p w14:paraId="673D65C6" w14:textId="79D7AF9C" w:rsidR="00F308F0" w:rsidRPr="00E853D0" w:rsidRDefault="00C9062F" w:rsidP="00E672C6">
      <w:pPr>
        <w:pStyle w:val="ListParagraph"/>
        <w:numPr>
          <w:ilvl w:val="0"/>
          <w:numId w:val="14"/>
        </w:numPr>
        <w:rPr>
          <w:rFonts w:ascii="Corbel" w:hAnsi="Corbel" w:cs="Arial"/>
          <w:sz w:val="26"/>
          <w:szCs w:val="26"/>
          <w:u w:val="none"/>
        </w:rPr>
      </w:pPr>
      <w:r w:rsidRPr="00AE0B74">
        <w:rPr>
          <w:rFonts w:ascii="Corbel" w:hAnsi="Corbel" w:cs="Arial"/>
          <w:sz w:val="26"/>
          <w:szCs w:val="26"/>
          <w:u w:val="none"/>
        </w:rPr>
        <w:t xml:space="preserve">Although receiving job-readiness training, when considered by itself, was linked to a reduction in likelihood of achieving earnings over SGA, </w:t>
      </w:r>
      <w:r w:rsidRPr="00AE0B74">
        <w:rPr>
          <w:rFonts w:ascii="Corbel" w:hAnsi="Corbel" w:cs="Arial"/>
          <w:i/>
          <w:sz w:val="26"/>
          <w:szCs w:val="26"/>
          <w:u w:val="none"/>
        </w:rPr>
        <w:t>agency structure</w:t>
      </w:r>
      <w:r w:rsidRPr="00AE0B74">
        <w:rPr>
          <w:rFonts w:ascii="Corbel" w:hAnsi="Corbel" w:cs="Arial"/>
          <w:sz w:val="26"/>
          <w:szCs w:val="26"/>
          <w:u w:val="none"/>
        </w:rPr>
        <w:t xml:space="preserve"> made a difference in this relationship. </w:t>
      </w:r>
      <w:r w:rsidR="00D9263D" w:rsidRPr="00AE0B74">
        <w:rPr>
          <w:rFonts w:ascii="Corbel" w:hAnsi="Corbel" w:cs="Arial"/>
          <w:sz w:val="26"/>
          <w:szCs w:val="26"/>
          <w:u w:val="none"/>
        </w:rPr>
        <w:t>C</w:t>
      </w:r>
      <w:r w:rsidRPr="00AE0B74">
        <w:rPr>
          <w:rFonts w:ascii="Corbel" w:hAnsi="Corbel" w:cs="Arial"/>
          <w:sz w:val="26"/>
          <w:szCs w:val="26"/>
          <w:u w:val="none"/>
        </w:rPr>
        <w:t>onsumer</w:t>
      </w:r>
      <w:r w:rsidR="00D9263D" w:rsidRPr="00AE0B74">
        <w:rPr>
          <w:rFonts w:ascii="Corbel" w:hAnsi="Corbel" w:cs="Arial"/>
          <w:sz w:val="26"/>
          <w:szCs w:val="26"/>
          <w:u w:val="none"/>
        </w:rPr>
        <w:t>s</w:t>
      </w:r>
      <w:r w:rsidRPr="00AE0B74">
        <w:rPr>
          <w:rFonts w:ascii="Corbel" w:hAnsi="Corbel" w:cs="Arial"/>
          <w:sz w:val="26"/>
          <w:szCs w:val="26"/>
          <w:u w:val="none"/>
        </w:rPr>
        <w:t xml:space="preserve"> receiving job-readiness training in a separate blind agency </w:t>
      </w:r>
      <w:r w:rsidR="00D9263D" w:rsidRPr="00AE0B74">
        <w:rPr>
          <w:rFonts w:ascii="Corbel" w:hAnsi="Corbel" w:cs="Arial"/>
          <w:sz w:val="26"/>
          <w:szCs w:val="26"/>
          <w:u w:val="none"/>
        </w:rPr>
        <w:t xml:space="preserve">were </w:t>
      </w:r>
      <w:r w:rsidR="002957FD" w:rsidRPr="00AE0B74">
        <w:rPr>
          <w:rFonts w:ascii="Corbel" w:hAnsi="Corbel" w:cs="Arial"/>
          <w:sz w:val="26"/>
          <w:szCs w:val="26"/>
          <w:u w:val="none"/>
        </w:rPr>
        <w:t xml:space="preserve">considerably more likely to achieve earnings over SGA </w:t>
      </w:r>
      <w:r w:rsidR="002957FD" w:rsidRPr="00AE0B74">
        <w:rPr>
          <w:rFonts w:ascii="Corbel" w:hAnsi="Corbel" w:cs="Arial"/>
          <w:sz w:val="26"/>
          <w:szCs w:val="26"/>
          <w:u w:val="none"/>
        </w:rPr>
        <w:lastRenderedPageBreak/>
        <w:t xml:space="preserve">than </w:t>
      </w:r>
      <w:r w:rsidR="00D9263D" w:rsidRPr="00AE0B74">
        <w:rPr>
          <w:rFonts w:ascii="Corbel" w:hAnsi="Corbel" w:cs="Arial"/>
          <w:sz w:val="26"/>
          <w:szCs w:val="26"/>
          <w:u w:val="none"/>
        </w:rPr>
        <w:t xml:space="preserve">consumers receiving this </w:t>
      </w:r>
      <w:r w:rsidR="002957FD" w:rsidRPr="00AE0B74">
        <w:rPr>
          <w:rFonts w:ascii="Corbel" w:hAnsi="Corbel" w:cs="Arial"/>
          <w:sz w:val="26"/>
          <w:szCs w:val="26"/>
          <w:u w:val="none"/>
        </w:rPr>
        <w:t>training in a combined agency.</w:t>
      </w:r>
      <w:r w:rsidR="00AE0B74">
        <w:rPr>
          <w:rFonts w:ascii="Corbel" w:hAnsi="Corbel" w:cs="Arial"/>
          <w:sz w:val="26"/>
          <w:szCs w:val="26"/>
          <w:u w:val="none"/>
        </w:rPr>
        <w:t xml:space="preserve"> </w:t>
      </w:r>
      <w:r w:rsidR="002957FD" w:rsidRPr="00E853D0">
        <w:rPr>
          <w:rFonts w:ascii="Corbel" w:hAnsi="Corbel" w:cs="Arial"/>
          <w:sz w:val="26"/>
          <w:szCs w:val="26"/>
          <w:u w:val="none"/>
        </w:rPr>
        <w:t>Receipt of this training can be viewed as indicating that these individuals are “at risk” for positive employment and high earnings outcomes, and they probably will need more efforts, sustained training, and support services to achieve employment with earnings over SGA</w:t>
      </w:r>
      <w:r w:rsidR="00B03B9F" w:rsidRPr="00E853D0">
        <w:rPr>
          <w:rFonts w:ascii="Corbel" w:hAnsi="Corbel" w:cs="Arial"/>
          <w:sz w:val="26"/>
          <w:szCs w:val="26"/>
          <w:u w:val="none"/>
        </w:rPr>
        <w:t>.</w:t>
      </w:r>
    </w:p>
    <w:p w14:paraId="3976545E" w14:textId="099F5E11" w:rsidR="00F32641" w:rsidRPr="00AE0B74" w:rsidRDefault="00F308F0" w:rsidP="00E672C6">
      <w:pPr>
        <w:pStyle w:val="ListParagraph"/>
        <w:numPr>
          <w:ilvl w:val="0"/>
          <w:numId w:val="14"/>
        </w:numPr>
        <w:rPr>
          <w:rFonts w:ascii="Corbel" w:hAnsi="Corbel" w:cs="Arial"/>
          <w:strike/>
          <w:sz w:val="26"/>
          <w:szCs w:val="26"/>
          <w:u w:val="none"/>
        </w:rPr>
      </w:pPr>
      <w:r w:rsidRPr="00AE0B74">
        <w:rPr>
          <w:rFonts w:ascii="Corbel" w:hAnsi="Corbel" w:cs="Arial"/>
          <w:sz w:val="26"/>
          <w:szCs w:val="26"/>
          <w:u w:val="none"/>
        </w:rPr>
        <w:t>Receiving services related to training and supports (including rehabilitation technology</w:t>
      </w:r>
      <w:r w:rsidR="003A2B59" w:rsidRPr="00AE0B74">
        <w:rPr>
          <w:rFonts w:ascii="Corbel" w:hAnsi="Corbel" w:cs="Arial"/>
          <w:sz w:val="26"/>
          <w:szCs w:val="26"/>
          <w:u w:val="none"/>
        </w:rPr>
        <w:t>/assistive technology</w:t>
      </w:r>
      <w:r w:rsidRPr="00AE0B74">
        <w:rPr>
          <w:rFonts w:ascii="Corbel" w:hAnsi="Corbel" w:cs="Arial"/>
          <w:sz w:val="26"/>
          <w:szCs w:val="26"/>
          <w:u w:val="none"/>
        </w:rPr>
        <w:t xml:space="preserve">, “other” services, maintenance, occupational or vocational training, and miscellaneous training), was associated with increased likelihood </w:t>
      </w:r>
      <w:r w:rsidR="00D875F9" w:rsidRPr="00AE0B74">
        <w:rPr>
          <w:rFonts w:ascii="Corbel" w:hAnsi="Corbel" w:cs="Arial"/>
          <w:sz w:val="26"/>
          <w:szCs w:val="26"/>
          <w:u w:val="none"/>
        </w:rPr>
        <w:t xml:space="preserve">of achieving earnings over SGA. </w:t>
      </w:r>
      <w:r w:rsidR="00686E88" w:rsidRPr="00AE0B74">
        <w:rPr>
          <w:rFonts w:ascii="Corbel" w:hAnsi="Corbel" w:cs="Arial"/>
          <w:sz w:val="26"/>
          <w:szCs w:val="26"/>
          <w:u w:val="none"/>
        </w:rPr>
        <w:br/>
      </w:r>
    </w:p>
    <w:p w14:paraId="739100A1" w14:textId="77777777" w:rsidR="00ED7168" w:rsidRPr="00E853D0" w:rsidRDefault="00ED7168" w:rsidP="00452D39">
      <w:pPr>
        <w:ind w:left="0" w:firstLine="0"/>
        <w:jc w:val="center"/>
        <w:rPr>
          <w:rFonts w:ascii="Corbel" w:hAnsi="Corbel"/>
          <w:b/>
          <w:sz w:val="26"/>
          <w:szCs w:val="26"/>
          <w:u w:val="none"/>
        </w:rPr>
      </w:pPr>
      <w:r w:rsidRPr="00E853D0">
        <w:rPr>
          <w:rFonts w:ascii="Corbel" w:hAnsi="Corbel"/>
          <w:b/>
          <w:sz w:val="28"/>
          <w:szCs w:val="26"/>
          <w:u w:val="none"/>
        </w:rPr>
        <w:t>Recommendations Based on Research Results</w:t>
      </w:r>
    </w:p>
    <w:p w14:paraId="1CD21C6C" w14:textId="77777777" w:rsidR="00ED7168" w:rsidRPr="00E853D0" w:rsidRDefault="00ED7168" w:rsidP="00ED7168">
      <w:pPr>
        <w:ind w:firstLine="0"/>
        <w:rPr>
          <w:rFonts w:ascii="Corbel" w:hAnsi="Corbel"/>
          <w:sz w:val="26"/>
          <w:szCs w:val="26"/>
        </w:rPr>
      </w:pPr>
    </w:p>
    <w:p w14:paraId="098AE863" w14:textId="77777777" w:rsidR="00D126EB" w:rsidRDefault="00ED7168" w:rsidP="00D126EB">
      <w:pPr>
        <w:pStyle w:val="ListParagraph"/>
        <w:numPr>
          <w:ilvl w:val="0"/>
          <w:numId w:val="17"/>
        </w:numPr>
        <w:tabs>
          <w:tab w:val="left" w:pos="810"/>
        </w:tabs>
        <w:ind w:left="360"/>
        <w:rPr>
          <w:rFonts w:ascii="Corbel" w:hAnsi="Corbel" w:cs="Arial"/>
          <w:sz w:val="26"/>
          <w:szCs w:val="26"/>
          <w:u w:val="none"/>
        </w:rPr>
      </w:pPr>
      <w:r w:rsidRPr="00E853D0">
        <w:rPr>
          <w:rFonts w:ascii="Corbel" w:hAnsi="Corbel" w:cs="Arial"/>
          <w:sz w:val="26"/>
          <w:szCs w:val="26"/>
        </w:rPr>
        <w:t>Ensure that VR counselors and other service personnel do not have stereotyped low expectations or negative attitudes regarding the vocational potential of SSDI-beneficiary consumers. Also, be sure to differentiate SSDI from SSI beneficiaries.</w:t>
      </w:r>
      <w:r w:rsidRPr="00046D03">
        <w:rPr>
          <w:rFonts w:ascii="Corbel" w:hAnsi="Corbel" w:cs="Arial"/>
          <w:sz w:val="26"/>
          <w:szCs w:val="26"/>
          <w:u w:val="none"/>
        </w:rPr>
        <w:t xml:space="preserve"> </w:t>
      </w:r>
    </w:p>
    <w:p w14:paraId="6E441F47" w14:textId="3101C3BB" w:rsidR="00ED7168" w:rsidRPr="00D126EB" w:rsidRDefault="00ED7168" w:rsidP="00D126EB">
      <w:pPr>
        <w:pStyle w:val="ListParagraph"/>
        <w:tabs>
          <w:tab w:val="left" w:pos="810"/>
        </w:tabs>
        <w:rPr>
          <w:rFonts w:ascii="Corbel" w:hAnsi="Corbel" w:cs="Arial"/>
          <w:sz w:val="26"/>
          <w:szCs w:val="26"/>
          <w:u w:val="none"/>
        </w:rPr>
      </w:pPr>
      <w:r w:rsidRPr="00D126EB">
        <w:rPr>
          <w:rFonts w:ascii="Corbel" w:hAnsi="Corbel" w:cs="Arial"/>
          <w:sz w:val="26"/>
          <w:szCs w:val="26"/>
          <w:u w:val="none"/>
        </w:rPr>
        <w:t xml:space="preserve">The research indicates, surprisingly, that overall competitive closure rate for SSDI-beneficiary consumers is only about 8% lower than for all consumers. Rehabilitation counselor attitudes that assume consumers receiving SSDI are not good prospects for competitive closure may negatively affect employment </w:t>
      </w:r>
      <w:proofErr w:type="gramStart"/>
      <w:r w:rsidRPr="00D126EB">
        <w:rPr>
          <w:rFonts w:ascii="Corbel" w:hAnsi="Corbel" w:cs="Arial"/>
          <w:sz w:val="26"/>
          <w:szCs w:val="26"/>
          <w:u w:val="none"/>
        </w:rPr>
        <w:t>goal-setting</w:t>
      </w:r>
      <w:proofErr w:type="gramEnd"/>
      <w:r w:rsidRPr="00D126EB">
        <w:rPr>
          <w:rFonts w:ascii="Corbel" w:hAnsi="Corbel" w:cs="Arial"/>
          <w:sz w:val="26"/>
          <w:szCs w:val="26"/>
          <w:u w:val="none"/>
        </w:rPr>
        <w:t xml:space="preserve"> and counselor effort through the VR process. There needs to be awareness and avoidance of bias in this situation.</w:t>
      </w:r>
    </w:p>
    <w:p w14:paraId="56E941A8" w14:textId="77777777" w:rsidR="00D126EB" w:rsidRDefault="00ED7168" w:rsidP="00E672C6">
      <w:pPr>
        <w:pStyle w:val="ListParagraph"/>
        <w:numPr>
          <w:ilvl w:val="0"/>
          <w:numId w:val="11"/>
        </w:numPr>
        <w:ind w:left="360"/>
        <w:rPr>
          <w:rFonts w:ascii="Corbel" w:hAnsi="Corbel" w:cs="Arial"/>
          <w:sz w:val="26"/>
          <w:szCs w:val="26"/>
          <w:u w:val="none"/>
        </w:rPr>
      </w:pPr>
      <w:r w:rsidRPr="00046D03">
        <w:rPr>
          <w:rFonts w:ascii="Corbel" w:hAnsi="Corbel" w:cs="Arial"/>
          <w:sz w:val="26"/>
          <w:szCs w:val="26"/>
        </w:rPr>
        <w:t>Be aware of, and responsive to, economic conditions including state and local unemployment rates in planning and implementing VR services.</w:t>
      </w:r>
      <w:r w:rsidR="00046D03" w:rsidRPr="00046D03">
        <w:rPr>
          <w:rFonts w:ascii="Corbel" w:hAnsi="Corbel" w:cs="Arial"/>
          <w:sz w:val="26"/>
          <w:szCs w:val="26"/>
          <w:u w:val="none"/>
        </w:rPr>
        <w:t xml:space="preserve"> </w:t>
      </w:r>
    </w:p>
    <w:p w14:paraId="73B0FDF0" w14:textId="4D88B4CE" w:rsidR="00ED7168" w:rsidRPr="00046D03" w:rsidRDefault="00ED7168" w:rsidP="00D126EB">
      <w:pPr>
        <w:pStyle w:val="ListParagraph"/>
        <w:rPr>
          <w:rFonts w:ascii="Corbel" w:hAnsi="Corbel" w:cs="Arial"/>
          <w:sz w:val="26"/>
          <w:szCs w:val="26"/>
          <w:u w:val="none"/>
        </w:rPr>
      </w:pPr>
      <w:r w:rsidRPr="00046D03">
        <w:rPr>
          <w:rFonts w:ascii="Corbel" w:hAnsi="Corbel" w:cs="Arial"/>
          <w:sz w:val="26"/>
          <w:szCs w:val="26"/>
          <w:u w:val="none"/>
        </w:rPr>
        <w:t xml:space="preserve">VR counselors need to be aware of unemployment rate changes so that they can adjust aspects of rehabilitation counseling efforts in response to job market conditions. In areas of high unemployment, consumers may need higher skill levels and more education to be competitive. </w:t>
      </w:r>
      <w:r w:rsidR="004D7095" w:rsidRPr="00046D03">
        <w:rPr>
          <w:rFonts w:ascii="Corbel" w:hAnsi="Corbel" w:cs="Arial"/>
          <w:sz w:val="26"/>
          <w:szCs w:val="26"/>
          <w:u w:val="none"/>
        </w:rPr>
        <w:t xml:space="preserve">Also, </w:t>
      </w:r>
      <w:r w:rsidR="00FC0E21" w:rsidRPr="00046D03">
        <w:rPr>
          <w:rFonts w:ascii="Corbel" w:hAnsi="Corbel" w:cs="Arial"/>
          <w:sz w:val="26"/>
          <w:szCs w:val="26"/>
          <w:u w:val="none"/>
        </w:rPr>
        <w:t>j</w:t>
      </w:r>
      <w:r w:rsidRPr="00046D03">
        <w:rPr>
          <w:rFonts w:ascii="Corbel" w:hAnsi="Corbel" w:cs="Arial"/>
          <w:sz w:val="26"/>
          <w:szCs w:val="26"/>
          <w:u w:val="none"/>
        </w:rPr>
        <w:t xml:space="preserve">ob-related services are even more important </w:t>
      </w:r>
      <w:proofErr w:type="gramStart"/>
      <w:r w:rsidR="009375EF">
        <w:rPr>
          <w:rFonts w:ascii="Corbel" w:hAnsi="Corbel" w:cs="Arial"/>
          <w:sz w:val="26"/>
          <w:szCs w:val="26"/>
          <w:u w:val="none"/>
        </w:rPr>
        <w:t xml:space="preserve">in order </w:t>
      </w:r>
      <w:r w:rsidRPr="00046D03">
        <w:rPr>
          <w:rFonts w:ascii="Corbel" w:hAnsi="Corbel" w:cs="Arial"/>
          <w:sz w:val="26"/>
          <w:szCs w:val="26"/>
          <w:u w:val="none"/>
        </w:rPr>
        <w:t>to</w:t>
      </w:r>
      <w:proofErr w:type="gramEnd"/>
      <w:r w:rsidRPr="00046D03">
        <w:rPr>
          <w:rFonts w:ascii="Corbel" w:hAnsi="Corbel" w:cs="Arial"/>
          <w:sz w:val="26"/>
          <w:szCs w:val="26"/>
          <w:u w:val="none"/>
        </w:rPr>
        <w:t xml:space="preserve"> achieve high earnings when labor market conditions are more competitive and lucrative.</w:t>
      </w:r>
    </w:p>
    <w:p w14:paraId="773B6F32" w14:textId="77777777" w:rsidR="00D126EB" w:rsidRPr="00D126EB" w:rsidRDefault="00ED7168" w:rsidP="00E672C6">
      <w:pPr>
        <w:pStyle w:val="ListParagraph"/>
        <w:numPr>
          <w:ilvl w:val="0"/>
          <w:numId w:val="13"/>
        </w:numPr>
        <w:ind w:left="360"/>
        <w:rPr>
          <w:rFonts w:ascii="Corbel" w:hAnsi="Corbel" w:cs="Arial"/>
          <w:sz w:val="26"/>
          <w:szCs w:val="26"/>
        </w:rPr>
      </w:pPr>
      <w:r w:rsidRPr="00E853D0">
        <w:rPr>
          <w:rFonts w:ascii="Corbel" w:hAnsi="Corbel" w:cs="Arial"/>
          <w:sz w:val="26"/>
          <w:szCs w:val="26"/>
        </w:rPr>
        <w:t>It may be helpful to agency personnel to be aware that services can be grouped into categories that may simplify thinking about service delivery and facilitate agency planning for service delivery needs.</w:t>
      </w:r>
      <w:r w:rsidRPr="00E853D0">
        <w:rPr>
          <w:rFonts w:ascii="Corbel" w:hAnsi="Corbel" w:cs="Arial"/>
          <w:sz w:val="26"/>
          <w:szCs w:val="26"/>
          <w:u w:val="none"/>
        </w:rPr>
        <w:t xml:space="preserve"> </w:t>
      </w:r>
    </w:p>
    <w:p w14:paraId="680AC68A" w14:textId="3E25BD96" w:rsidR="00ED7168" w:rsidRPr="00E853D0" w:rsidRDefault="00FC0E21" w:rsidP="00D126EB">
      <w:pPr>
        <w:pStyle w:val="ListParagraph"/>
        <w:rPr>
          <w:rFonts w:ascii="Corbel" w:hAnsi="Corbel" w:cs="Arial"/>
          <w:sz w:val="26"/>
          <w:szCs w:val="26"/>
        </w:rPr>
      </w:pPr>
      <w:r w:rsidRPr="00E853D0">
        <w:rPr>
          <w:rFonts w:ascii="Corbel" w:hAnsi="Corbel" w:cs="Arial"/>
          <w:sz w:val="26"/>
          <w:szCs w:val="26"/>
          <w:u w:val="none"/>
        </w:rPr>
        <w:t xml:space="preserve">The </w:t>
      </w:r>
      <w:r w:rsidRPr="00046D03">
        <w:rPr>
          <w:rFonts w:ascii="Corbel" w:hAnsi="Corbel" w:cs="Arial"/>
          <w:sz w:val="26"/>
          <w:szCs w:val="26"/>
          <w:u w:val="none"/>
        </w:rPr>
        <w:t xml:space="preserve">groupings are (1) </w:t>
      </w:r>
      <w:r w:rsidRPr="00046D03">
        <w:rPr>
          <w:rFonts w:ascii="Corbel" w:hAnsi="Corbel" w:cs="Arial"/>
          <w:i/>
          <w:sz w:val="26"/>
          <w:szCs w:val="26"/>
          <w:u w:val="none"/>
        </w:rPr>
        <w:t>Special &amp; Remedial Services, (2) Job-Related Services, (3) Evaluation, and (4) Training and Support Services.</w:t>
      </w:r>
      <w:r w:rsidRPr="00E853D0">
        <w:rPr>
          <w:rFonts w:ascii="Corbel" w:hAnsi="Corbel" w:cs="Arial"/>
          <w:sz w:val="26"/>
          <w:szCs w:val="26"/>
          <w:u w:val="none"/>
        </w:rPr>
        <w:t xml:space="preserve"> </w:t>
      </w:r>
    </w:p>
    <w:p w14:paraId="006F7AC5" w14:textId="3D137286" w:rsidR="00ED7168" w:rsidRPr="00E853D0" w:rsidRDefault="004D7095" w:rsidP="00E672C6">
      <w:pPr>
        <w:pStyle w:val="ListParagraph"/>
        <w:numPr>
          <w:ilvl w:val="0"/>
          <w:numId w:val="13"/>
        </w:numPr>
        <w:ind w:left="360"/>
        <w:rPr>
          <w:rFonts w:ascii="Corbel" w:hAnsi="Corbel" w:cs="Arial"/>
          <w:sz w:val="26"/>
          <w:szCs w:val="26"/>
        </w:rPr>
      </w:pPr>
      <w:r w:rsidRPr="00E853D0">
        <w:rPr>
          <w:rFonts w:ascii="Corbel" w:hAnsi="Corbel" w:cs="Arial"/>
          <w:sz w:val="26"/>
          <w:szCs w:val="26"/>
        </w:rPr>
        <w:t>Several services were identified as “risk indicators” because their receipt was associated with reduced odds of competitive closure or achie</w:t>
      </w:r>
      <w:r w:rsidR="0082458F" w:rsidRPr="00E853D0">
        <w:rPr>
          <w:rFonts w:ascii="Corbel" w:hAnsi="Corbel" w:cs="Arial"/>
          <w:sz w:val="26"/>
          <w:szCs w:val="26"/>
        </w:rPr>
        <w:t>vement of</w:t>
      </w:r>
      <w:r w:rsidRPr="00E853D0">
        <w:rPr>
          <w:rFonts w:ascii="Corbel" w:hAnsi="Corbel" w:cs="Arial"/>
          <w:sz w:val="26"/>
          <w:szCs w:val="26"/>
        </w:rPr>
        <w:t xml:space="preserve"> closure earnings exceeding SGA. </w:t>
      </w:r>
      <w:r w:rsidR="006E0168" w:rsidRPr="00E853D0">
        <w:rPr>
          <w:rFonts w:ascii="Corbel" w:hAnsi="Corbel" w:cs="Arial"/>
          <w:sz w:val="26"/>
          <w:szCs w:val="26"/>
        </w:rPr>
        <w:t xml:space="preserve">These were </w:t>
      </w:r>
      <w:r w:rsidR="006E0168" w:rsidRPr="00E853D0">
        <w:rPr>
          <w:rFonts w:ascii="Corbel" w:hAnsi="Corbel" w:cs="Arial"/>
          <w:i/>
          <w:sz w:val="26"/>
          <w:szCs w:val="26"/>
        </w:rPr>
        <w:t>reader services, interpreter services, job readiness training, and assessment services</w:t>
      </w:r>
      <w:r w:rsidR="006E0168" w:rsidRPr="00E853D0">
        <w:rPr>
          <w:rFonts w:ascii="Corbel" w:hAnsi="Corbel" w:cs="Arial"/>
          <w:sz w:val="26"/>
          <w:szCs w:val="26"/>
        </w:rPr>
        <w:t xml:space="preserve">. </w:t>
      </w:r>
      <w:r w:rsidR="00DD16EF" w:rsidRPr="00E853D0">
        <w:rPr>
          <w:rFonts w:ascii="Corbel" w:hAnsi="Corbel" w:cs="Arial"/>
          <w:sz w:val="26"/>
          <w:szCs w:val="26"/>
        </w:rPr>
        <w:t>Service providers should be alert to consumers’ receipt of any of these services and take that receipt as a signal of the need for extra efforts and extra attention</w:t>
      </w:r>
      <w:r w:rsidR="00ED7168" w:rsidRPr="00E853D0">
        <w:rPr>
          <w:rFonts w:ascii="Corbel" w:hAnsi="Corbel" w:cs="Arial"/>
          <w:sz w:val="26"/>
          <w:szCs w:val="26"/>
        </w:rPr>
        <w:t xml:space="preserve">—such as more training and experience </w:t>
      </w:r>
      <w:r w:rsidR="00ED7168" w:rsidRPr="00E853D0">
        <w:rPr>
          <w:rFonts w:ascii="Corbel" w:hAnsi="Corbel" w:cs="Arial"/>
          <w:sz w:val="26"/>
          <w:szCs w:val="26"/>
        </w:rPr>
        <w:lastRenderedPageBreak/>
        <w:t xml:space="preserve">with assistive technology—because achieving competitive employment will be more difficult. </w:t>
      </w:r>
    </w:p>
    <w:p w14:paraId="53928D01" w14:textId="77777777" w:rsidR="00D126EB" w:rsidRPr="00D126EB" w:rsidRDefault="00ED7168" w:rsidP="00E672C6">
      <w:pPr>
        <w:pStyle w:val="ListParagraph"/>
        <w:numPr>
          <w:ilvl w:val="0"/>
          <w:numId w:val="13"/>
        </w:numPr>
        <w:spacing w:before="240"/>
        <w:ind w:left="360"/>
        <w:rPr>
          <w:rFonts w:ascii="Corbel" w:hAnsi="Corbel" w:cs="Arial"/>
          <w:sz w:val="26"/>
          <w:szCs w:val="26"/>
        </w:rPr>
      </w:pPr>
      <w:r w:rsidRPr="00E853D0">
        <w:rPr>
          <w:rFonts w:ascii="Corbel" w:hAnsi="Corbel" w:cs="Arial"/>
          <w:sz w:val="26"/>
          <w:szCs w:val="26"/>
        </w:rPr>
        <w:t>Ensure that VR counseling and guidance services are effectively provided when needed by the consumer, recognizing that adjustment to disability and job seeking can be stressful and may take time.</w:t>
      </w:r>
      <w:r w:rsidRPr="00046D03">
        <w:rPr>
          <w:rFonts w:ascii="Corbel" w:hAnsi="Corbel" w:cs="Arial"/>
          <w:sz w:val="26"/>
          <w:szCs w:val="26"/>
          <w:u w:val="none"/>
        </w:rPr>
        <w:t xml:space="preserve"> </w:t>
      </w:r>
    </w:p>
    <w:p w14:paraId="4FC59ADA" w14:textId="38385321" w:rsidR="00ED7168" w:rsidRPr="00E853D0" w:rsidRDefault="00ED7168" w:rsidP="00D126EB">
      <w:pPr>
        <w:pStyle w:val="ListParagraph"/>
        <w:spacing w:before="240"/>
        <w:rPr>
          <w:rFonts w:ascii="Corbel" w:hAnsi="Corbel" w:cs="Arial"/>
          <w:sz w:val="26"/>
          <w:szCs w:val="26"/>
        </w:rPr>
      </w:pPr>
      <w:r w:rsidRPr="00E853D0">
        <w:rPr>
          <w:rFonts w:ascii="Corbel" w:hAnsi="Corbel" w:cs="Arial"/>
          <w:sz w:val="26"/>
          <w:szCs w:val="26"/>
          <w:u w:val="none"/>
        </w:rPr>
        <w:t xml:space="preserve">There is strong evidence that addressing existing issues related to personal adjustment to blindness or other additional disabilities, as well as family or other social issues through counseling, is quite important for achieving competitive employment. Counselors should be alert to potentially serious mental health, emotional, or adjustment issues, such as anxiety and depression, and refer consumers for mental health evaluation and treatment as needed. </w:t>
      </w:r>
    </w:p>
    <w:p w14:paraId="61FC5C4A" w14:textId="77777777" w:rsidR="00D126EB" w:rsidRPr="00D126EB" w:rsidRDefault="00ED7168" w:rsidP="00E672C6">
      <w:pPr>
        <w:pStyle w:val="ListParagraph"/>
        <w:numPr>
          <w:ilvl w:val="0"/>
          <w:numId w:val="13"/>
        </w:numPr>
        <w:spacing w:before="240"/>
        <w:ind w:left="360"/>
        <w:rPr>
          <w:rFonts w:ascii="Corbel" w:hAnsi="Corbel" w:cs="Arial"/>
          <w:sz w:val="26"/>
          <w:szCs w:val="26"/>
        </w:rPr>
      </w:pPr>
      <w:r w:rsidRPr="00E853D0">
        <w:rPr>
          <w:rFonts w:ascii="Corbel" w:hAnsi="Corbel" w:cs="Arial"/>
          <w:sz w:val="26"/>
          <w:szCs w:val="26"/>
        </w:rPr>
        <w:t>Ensure that consumers capable of benefiting from rehabilitation technology (RT)/</w:t>
      </w:r>
      <w:r w:rsidR="009375EF">
        <w:rPr>
          <w:rFonts w:ascii="Corbel" w:hAnsi="Corbel" w:cs="Arial"/>
          <w:sz w:val="26"/>
          <w:szCs w:val="26"/>
        </w:rPr>
        <w:t>a</w:t>
      </w:r>
      <w:r w:rsidRPr="00E853D0">
        <w:rPr>
          <w:rFonts w:ascii="Corbel" w:hAnsi="Corbel" w:cs="Arial"/>
          <w:sz w:val="26"/>
          <w:szCs w:val="26"/>
        </w:rPr>
        <w:t xml:space="preserve">ssistive </w:t>
      </w:r>
      <w:r w:rsidR="009375EF">
        <w:rPr>
          <w:rFonts w:ascii="Corbel" w:hAnsi="Corbel" w:cs="Arial"/>
          <w:sz w:val="26"/>
          <w:szCs w:val="26"/>
        </w:rPr>
        <w:t>t</w:t>
      </w:r>
      <w:r w:rsidRPr="00E853D0">
        <w:rPr>
          <w:rFonts w:ascii="Corbel" w:hAnsi="Corbel" w:cs="Arial"/>
          <w:sz w:val="26"/>
          <w:szCs w:val="26"/>
        </w:rPr>
        <w:t>echnology (AT) services do receive them early enough in the process to fully master their use before employment.</w:t>
      </w:r>
      <w:r w:rsidRPr="00046D03">
        <w:rPr>
          <w:rFonts w:ascii="Corbel" w:hAnsi="Corbel" w:cs="Arial"/>
          <w:sz w:val="26"/>
          <w:szCs w:val="26"/>
          <w:u w:val="none"/>
        </w:rPr>
        <w:t xml:space="preserve"> </w:t>
      </w:r>
    </w:p>
    <w:p w14:paraId="27D429E8" w14:textId="296D5F45" w:rsidR="00ED7168" w:rsidRPr="00E853D0" w:rsidRDefault="00ED7168" w:rsidP="005D2F2B">
      <w:pPr>
        <w:pStyle w:val="ListParagraph"/>
        <w:spacing w:before="240"/>
        <w:rPr>
          <w:rFonts w:ascii="Corbel" w:hAnsi="Corbel" w:cs="Arial"/>
          <w:sz w:val="26"/>
          <w:szCs w:val="26"/>
        </w:rPr>
      </w:pPr>
      <w:r w:rsidRPr="00E853D0">
        <w:rPr>
          <w:rFonts w:ascii="Corbel" w:hAnsi="Corbel" w:cs="Arial"/>
          <w:sz w:val="26"/>
          <w:szCs w:val="26"/>
          <w:u w:val="none"/>
        </w:rPr>
        <w:t xml:space="preserve">The benefits of RT/AT services are very strong for achieving competitive employment. Service providers should carefully examine the needs and potential barriers that can be addressed by RT services, keeping in mind the areas of potential benefit, including education, rehabilitation, employment, transportation, independent living, and recreation. Success with RT and assistive technology may encourage consumers and promote self-efficacy. </w:t>
      </w:r>
    </w:p>
    <w:p w14:paraId="31654A73" w14:textId="77777777" w:rsidR="005D2F2B" w:rsidRDefault="00ED7168" w:rsidP="00E672C6">
      <w:pPr>
        <w:pStyle w:val="ListParagraph"/>
        <w:numPr>
          <w:ilvl w:val="0"/>
          <w:numId w:val="13"/>
        </w:numPr>
        <w:spacing w:before="240"/>
        <w:ind w:left="360"/>
        <w:rPr>
          <w:rFonts w:ascii="Corbel" w:hAnsi="Corbel" w:cs="Arial"/>
          <w:sz w:val="26"/>
          <w:szCs w:val="26"/>
          <w:u w:val="none"/>
        </w:rPr>
      </w:pPr>
      <w:r w:rsidRPr="00E853D0">
        <w:rPr>
          <w:rFonts w:ascii="Corbel" w:hAnsi="Corbel" w:cs="Arial"/>
          <w:sz w:val="26"/>
          <w:szCs w:val="26"/>
        </w:rPr>
        <w:t xml:space="preserve">Ensure that maintenance services are provided when they are </w:t>
      </w:r>
      <w:proofErr w:type="gramStart"/>
      <w:r w:rsidRPr="00E853D0">
        <w:rPr>
          <w:rFonts w:ascii="Corbel" w:hAnsi="Corbel" w:cs="Arial"/>
          <w:sz w:val="26"/>
          <w:szCs w:val="26"/>
        </w:rPr>
        <w:t>appropriate</w:t>
      </w:r>
      <w:proofErr w:type="gramEnd"/>
      <w:r w:rsidRPr="00E853D0">
        <w:rPr>
          <w:rFonts w:ascii="Corbel" w:hAnsi="Corbel" w:cs="Arial"/>
          <w:sz w:val="26"/>
          <w:szCs w:val="26"/>
        </w:rPr>
        <w:t xml:space="preserve"> and the consumer may benefit.</w:t>
      </w:r>
      <w:r w:rsidR="00046D03" w:rsidRPr="00046D03">
        <w:rPr>
          <w:rFonts w:ascii="Corbel" w:hAnsi="Corbel" w:cs="Arial"/>
          <w:sz w:val="26"/>
          <w:szCs w:val="26"/>
          <w:u w:val="none"/>
        </w:rPr>
        <w:t xml:space="preserve"> </w:t>
      </w:r>
    </w:p>
    <w:p w14:paraId="0915EBAF" w14:textId="15E5DF91" w:rsidR="00ED7168" w:rsidRPr="00E853D0" w:rsidRDefault="00ED7168" w:rsidP="005D2F2B">
      <w:pPr>
        <w:pStyle w:val="ListParagraph"/>
        <w:spacing w:before="240"/>
        <w:rPr>
          <w:rFonts w:ascii="Corbel" w:hAnsi="Corbel" w:cs="Arial"/>
          <w:sz w:val="26"/>
          <w:szCs w:val="26"/>
          <w:u w:val="none"/>
        </w:rPr>
      </w:pPr>
      <w:r w:rsidRPr="00E853D0">
        <w:rPr>
          <w:rFonts w:ascii="Corbel" w:hAnsi="Corbel" w:cs="Arial"/>
          <w:sz w:val="26"/>
          <w:szCs w:val="26"/>
          <w:u w:val="none"/>
        </w:rPr>
        <w:t xml:space="preserve">Maintenance services may also encourage consumers to return to work rather than moving into unpaid roles such as homemakers, caregivers, or unpaid family workers. </w:t>
      </w:r>
    </w:p>
    <w:p w14:paraId="7D66F62E" w14:textId="5C191DF6" w:rsidR="005D2F2B" w:rsidRDefault="00B73212" w:rsidP="005D2F2B">
      <w:pPr>
        <w:pStyle w:val="ListParagraph"/>
        <w:numPr>
          <w:ilvl w:val="0"/>
          <w:numId w:val="15"/>
        </w:numPr>
        <w:ind w:left="360"/>
        <w:rPr>
          <w:rFonts w:ascii="Corbel" w:hAnsi="Corbel" w:cs="Arial"/>
          <w:sz w:val="26"/>
          <w:szCs w:val="26"/>
          <w:u w:val="none"/>
        </w:rPr>
      </w:pPr>
      <w:r w:rsidRPr="00E853D0">
        <w:rPr>
          <w:rFonts w:ascii="Corbel" w:hAnsi="Corbel" w:cs="Arial"/>
          <w:sz w:val="26"/>
          <w:szCs w:val="26"/>
        </w:rPr>
        <w:t>Fe</w:t>
      </w:r>
      <w:r w:rsidR="00ED7168" w:rsidRPr="00E853D0">
        <w:rPr>
          <w:rFonts w:ascii="Corbel" w:hAnsi="Corbel" w:cs="Arial"/>
          <w:sz w:val="26"/>
          <w:szCs w:val="26"/>
        </w:rPr>
        <w:t xml:space="preserve">male consumers will need added attention and efforts from VR service providers </w:t>
      </w:r>
      <w:proofErr w:type="gramStart"/>
      <w:r w:rsidR="00ED7168" w:rsidRPr="00E853D0">
        <w:rPr>
          <w:rFonts w:ascii="Corbel" w:hAnsi="Corbel" w:cs="Arial"/>
          <w:sz w:val="26"/>
          <w:szCs w:val="26"/>
        </w:rPr>
        <w:t>in order to</w:t>
      </w:r>
      <w:proofErr w:type="gramEnd"/>
      <w:r w:rsidR="00ED7168" w:rsidRPr="00E853D0">
        <w:rPr>
          <w:rFonts w:ascii="Corbel" w:hAnsi="Corbel" w:cs="Arial"/>
          <w:sz w:val="26"/>
          <w:szCs w:val="26"/>
        </w:rPr>
        <w:t xml:space="preserve"> achieve </w:t>
      </w:r>
      <w:r w:rsidRPr="00E853D0">
        <w:rPr>
          <w:rFonts w:ascii="Corbel" w:hAnsi="Corbel" w:cs="Arial"/>
          <w:sz w:val="26"/>
          <w:szCs w:val="26"/>
        </w:rPr>
        <w:t xml:space="preserve">competitive employment and </w:t>
      </w:r>
      <w:r w:rsidR="00ED7168" w:rsidRPr="00E853D0">
        <w:rPr>
          <w:rFonts w:ascii="Corbel" w:hAnsi="Corbel" w:cs="Arial"/>
          <w:sz w:val="26"/>
          <w:szCs w:val="26"/>
        </w:rPr>
        <w:t>earnings over SGA.</w:t>
      </w:r>
    </w:p>
    <w:p w14:paraId="28FF405D" w14:textId="71FF5006" w:rsidR="00ED7168" w:rsidRPr="005D2F2B" w:rsidRDefault="00ED7168" w:rsidP="005D2F2B">
      <w:pPr>
        <w:pStyle w:val="ListParagraph"/>
        <w:rPr>
          <w:rFonts w:ascii="Corbel" w:hAnsi="Corbel" w:cs="Arial"/>
          <w:sz w:val="26"/>
          <w:szCs w:val="26"/>
          <w:u w:val="none"/>
        </w:rPr>
      </w:pPr>
      <w:r w:rsidRPr="005D2F2B">
        <w:rPr>
          <w:rFonts w:ascii="Corbel" w:hAnsi="Corbel" w:cs="Arial"/>
          <w:sz w:val="26"/>
          <w:szCs w:val="26"/>
          <w:u w:val="none"/>
        </w:rPr>
        <w:t>For example, females might need more time</w:t>
      </w:r>
      <w:r w:rsidR="00B73212" w:rsidRPr="005D2F2B">
        <w:rPr>
          <w:rFonts w:ascii="Corbel" w:hAnsi="Corbel" w:cs="Arial"/>
          <w:sz w:val="26"/>
          <w:szCs w:val="26"/>
          <w:u w:val="none"/>
        </w:rPr>
        <w:t xml:space="preserve"> in VR as well as additional services related to </w:t>
      </w:r>
      <w:r w:rsidRPr="005D2F2B">
        <w:rPr>
          <w:rFonts w:ascii="Corbel" w:hAnsi="Corbel" w:cs="Arial"/>
          <w:sz w:val="26"/>
          <w:szCs w:val="26"/>
          <w:u w:val="none"/>
        </w:rPr>
        <w:t>assessment</w:t>
      </w:r>
      <w:r w:rsidR="00B73212" w:rsidRPr="005D2F2B">
        <w:rPr>
          <w:rFonts w:ascii="Corbel" w:hAnsi="Corbel" w:cs="Arial"/>
          <w:sz w:val="26"/>
          <w:szCs w:val="26"/>
          <w:u w:val="none"/>
        </w:rPr>
        <w:t xml:space="preserve"> </w:t>
      </w:r>
      <w:r w:rsidRPr="005D2F2B">
        <w:rPr>
          <w:rFonts w:ascii="Corbel" w:hAnsi="Corbel" w:cs="Arial"/>
          <w:sz w:val="26"/>
          <w:szCs w:val="26"/>
          <w:u w:val="none"/>
        </w:rPr>
        <w:t xml:space="preserve">to help prescribe most </w:t>
      </w:r>
      <w:r w:rsidR="00B73212" w:rsidRPr="005D2F2B">
        <w:rPr>
          <w:rFonts w:ascii="Corbel" w:hAnsi="Corbel" w:cs="Arial"/>
          <w:sz w:val="26"/>
          <w:szCs w:val="26"/>
          <w:u w:val="none"/>
        </w:rPr>
        <w:t xml:space="preserve">appropriate and </w:t>
      </w:r>
      <w:r w:rsidRPr="005D2F2B">
        <w:rPr>
          <w:rFonts w:ascii="Corbel" w:hAnsi="Corbel" w:cs="Arial"/>
          <w:sz w:val="26"/>
          <w:szCs w:val="26"/>
          <w:u w:val="none"/>
        </w:rPr>
        <w:t>effective services</w:t>
      </w:r>
      <w:r w:rsidR="00E672C6" w:rsidRPr="005D2F2B">
        <w:rPr>
          <w:rFonts w:ascii="Corbel" w:hAnsi="Corbel" w:cs="Arial"/>
          <w:sz w:val="26"/>
          <w:szCs w:val="26"/>
          <w:u w:val="none"/>
        </w:rPr>
        <w:t>.</w:t>
      </w:r>
    </w:p>
    <w:p w14:paraId="4A9F5530" w14:textId="77777777" w:rsidR="005D2F2B" w:rsidRPr="005D2F2B" w:rsidRDefault="00ED7168" w:rsidP="00E672C6">
      <w:pPr>
        <w:pStyle w:val="ListParagraph"/>
        <w:numPr>
          <w:ilvl w:val="0"/>
          <w:numId w:val="11"/>
        </w:numPr>
        <w:ind w:left="360"/>
        <w:rPr>
          <w:rFonts w:ascii="Corbel" w:hAnsi="Corbel" w:cs="Arial"/>
          <w:sz w:val="26"/>
          <w:szCs w:val="26"/>
        </w:rPr>
      </w:pPr>
      <w:r w:rsidRPr="00E853D0">
        <w:rPr>
          <w:rFonts w:ascii="Corbel" w:hAnsi="Corbel" w:cs="Arial"/>
          <w:sz w:val="26"/>
          <w:szCs w:val="26"/>
        </w:rPr>
        <w:t xml:space="preserve">Encourage all agency </w:t>
      </w:r>
      <w:proofErr w:type="gramStart"/>
      <w:r w:rsidRPr="00E853D0">
        <w:rPr>
          <w:rFonts w:ascii="Corbel" w:hAnsi="Corbel" w:cs="Arial"/>
          <w:sz w:val="26"/>
          <w:szCs w:val="26"/>
        </w:rPr>
        <w:t>policy-makers</w:t>
      </w:r>
      <w:proofErr w:type="gramEnd"/>
      <w:r w:rsidRPr="00E853D0">
        <w:rPr>
          <w:rFonts w:ascii="Corbel" w:hAnsi="Corbel" w:cs="Arial"/>
          <w:sz w:val="26"/>
          <w:szCs w:val="26"/>
        </w:rPr>
        <w:t xml:space="preserve">, administrators, and staff to be informed regarding the superiority of services received in separate blind agencies to achieve </w:t>
      </w:r>
      <w:r w:rsidRPr="00E853D0">
        <w:rPr>
          <w:rFonts w:ascii="Corbel" w:hAnsi="Corbel" w:cs="Arial"/>
          <w:i/>
          <w:sz w:val="26"/>
          <w:szCs w:val="26"/>
        </w:rPr>
        <w:t>not only competitive employment, but also closure earnings exceeding SGA</w:t>
      </w:r>
      <w:r w:rsidRPr="00E853D0">
        <w:rPr>
          <w:rFonts w:ascii="Corbel" w:hAnsi="Corbel" w:cs="Arial"/>
          <w:sz w:val="26"/>
          <w:szCs w:val="26"/>
        </w:rPr>
        <w:t xml:space="preserve"> for certain consumers, and to consider advocacy to retain separate agencies.</w:t>
      </w:r>
      <w:r w:rsidR="00046D03" w:rsidRPr="00046D03">
        <w:rPr>
          <w:rFonts w:ascii="Corbel" w:hAnsi="Corbel" w:cs="Arial"/>
          <w:sz w:val="26"/>
          <w:szCs w:val="26"/>
          <w:u w:val="none"/>
        </w:rPr>
        <w:t xml:space="preserve"> </w:t>
      </w:r>
    </w:p>
    <w:p w14:paraId="6354F491" w14:textId="5D93DEB7" w:rsidR="00ED7168" w:rsidRPr="00E853D0" w:rsidRDefault="00ED7168" w:rsidP="005D2F2B">
      <w:pPr>
        <w:pStyle w:val="ListParagraph"/>
        <w:rPr>
          <w:rFonts w:ascii="Corbel" w:hAnsi="Corbel" w:cs="Arial"/>
          <w:sz w:val="26"/>
          <w:szCs w:val="26"/>
        </w:rPr>
      </w:pPr>
      <w:r w:rsidRPr="00E853D0">
        <w:rPr>
          <w:rFonts w:ascii="Corbel" w:hAnsi="Corbel" w:cs="Arial"/>
          <w:sz w:val="26"/>
          <w:szCs w:val="26"/>
          <w:u w:val="none"/>
        </w:rPr>
        <w:t xml:space="preserve">Project III research adds to existing findings by documenting </w:t>
      </w:r>
      <w:proofErr w:type="gramStart"/>
      <w:r w:rsidRPr="00E853D0">
        <w:rPr>
          <w:rFonts w:ascii="Corbel" w:hAnsi="Corbel" w:cs="Arial"/>
          <w:sz w:val="26"/>
          <w:szCs w:val="26"/>
          <w:u w:val="none"/>
        </w:rPr>
        <w:t>that services</w:t>
      </w:r>
      <w:proofErr w:type="gramEnd"/>
      <w:r w:rsidRPr="00E853D0">
        <w:rPr>
          <w:rFonts w:ascii="Corbel" w:hAnsi="Corbel" w:cs="Arial"/>
          <w:sz w:val="26"/>
          <w:szCs w:val="26"/>
          <w:u w:val="none"/>
        </w:rPr>
        <w:t xml:space="preserve"> in separate blind agencies may be able to overcome employment risk factors for females, those of certain ages—younger and older—at application in achieving closure </w:t>
      </w:r>
      <w:r w:rsidRPr="00E853D0">
        <w:rPr>
          <w:rFonts w:ascii="Corbel" w:hAnsi="Corbel" w:cs="Arial"/>
          <w:i/>
          <w:sz w:val="26"/>
          <w:szCs w:val="26"/>
          <w:u w:val="none"/>
        </w:rPr>
        <w:t>employment with earnings exceeding SGA</w:t>
      </w:r>
      <w:r w:rsidRPr="00E853D0">
        <w:rPr>
          <w:rFonts w:ascii="Corbel" w:hAnsi="Corbel" w:cs="Arial"/>
          <w:sz w:val="26"/>
          <w:szCs w:val="26"/>
          <w:u w:val="none"/>
        </w:rPr>
        <w:t xml:space="preserve"> and potential of SSDI beneficiaries to leave the SSDI rolls. (A summary of findings on the beneficial effects of services in separate blind agencies can be</w:t>
      </w:r>
      <w:r w:rsidR="00E672C6">
        <w:rPr>
          <w:rFonts w:ascii="Corbel" w:hAnsi="Corbel" w:cs="Arial"/>
          <w:sz w:val="26"/>
          <w:szCs w:val="26"/>
          <w:u w:val="none"/>
        </w:rPr>
        <w:t xml:space="preserve"> found on the NRTC website</w:t>
      </w:r>
      <w:r w:rsidRPr="00E853D0">
        <w:rPr>
          <w:rFonts w:ascii="Corbel" w:hAnsi="Corbel" w:cs="Arial"/>
          <w:sz w:val="26"/>
          <w:szCs w:val="26"/>
          <w:u w:val="none"/>
        </w:rPr>
        <w:t xml:space="preserve">: </w:t>
      </w:r>
      <w:hyperlink r:id="rId11" w:history="1">
        <w:r w:rsidR="00E853D0" w:rsidRPr="00E853D0">
          <w:rPr>
            <w:rStyle w:val="Hyperlink"/>
            <w:rFonts w:ascii="Corbel" w:hAnsi="Corbel" w:cs="Arial"/>
            <w:sz w:val="26"/>
            <w:szCs w:val="26"/>
          </w:rPr>
          <w:t>http://www.blind.msstate.edu/our-products/separate-vs-combined/</w:t>
        </w:r>
      </w:hyperlink>
      <w:r w:rsidR="00E853D0" w:rsidRPr="00E853D0">
        <w:rPr>
          <w:rFonts w:ascii="Corbel" w:hAnsi="Corbel" w:cs="Arial"/>
          <w:sz w:val="26"/>
          <w:szCs w:val="26"/>
          <w:u w:val="none"/>
        </w:rPr>
        <w:t>.</w:t>
      </w:r>
      <w:r w:rsidRPr="00E853D0">
        <w:rPr>
          <w:rFonts w:ascii="Corbel" w:hAnsi="Corbel" w:cs="Arial"/>
          <w:sz w:val="26"/>
          <w:szCs w:val="26"/>
          <w:u w:val="none"/>
        </w:rPr>
        <w:t>)</w:t>
      </w:r>
    </w:p>
    <w:p w14:paraId="45D44D1A" w14:textId="77777777" w:rsidR="005D2F2B" w:rsidRDefault="00ED7168" w:rsidP="00E672C6">
      <w:pPr>
        <w:pStyle w:val="ListParagraph"/>
        <w:numPr>
          <w:ilvl w:val="0"/>
          <w:numId w:val="15"/>
        </w:numPr>
        <w:ind w:left="360"/>
        <w:rPr>
          <w:rFonts w:ascii="Corbel" w:hAnsi="Corbel" w:cs="Arial"/>
          <w:sz w:val="26"/>
          <w:szCs w:val="26"/>
          <w:u w:val="none"/>
        </w:rPr>
      </w:pPr>
      <w:r w:rsidRPr="00E853D0">
        <w:rPr>
          <w:rFonts w:ascii="Corbel" w:hAnsi="Corbel" w:cs="Arial"/>
          <w:i/>
          <w:sz w:val="26"/>
          <w:szCs w:val="26"/>
        </w:rPr>
        <w:lastRenderedPageBreak/>
        <w:t>When seeking high closure earnings (such as exceeding SGA)</w:t>
      </w:r>
      <w:r w:rsidRPr="00E853D0">
        <w:rPr>
          <w:rFonts w:ascii="Corbel" w:hAnsi="Corbel" w:cs="Arial"/>
          <w:sz w:val="26"/>
          <w:szCs w:val="26"/>
        </w:rPr>
        <w:t>, ensure that VR counselors are aware of, and responsive to, both cognitive and non</w:t>
      </w:r>
      <w:r w:rsidR="00046D03">
        <w:rPr>
          <w:rFonts w:ascii="Corbel" w:hAnsi="Corbel" w:cs="Arial"/>
          <w:sz w:val="26"/>
          <w:szCs w:val="26"/>
        </w:rPr>
        <w:t>-</w:t>
      </w:r>
      <w:r w:rsidRPr="00E853D0">
        <w:rPr>
          <w:rFonts w:ascii="Corbel" w:hAnsi="Corbel" w:cs="Arial"/>
          <w:sz w:val="26"/>
          <w:szCs w:val="26"/>
        </w:rPr>
        <w:t>cognitive secondary disabilities in planning and implementing VR services.</w:t>
      </w:r>
      <w:r w:rsidR="00046D03" w:rsidRPr="00046D03">
        <w:rPr>
          <w:rFonts w:ascii="Corbel" w:hAnsi="Corbel" w:cs="Arial"/>
          <w:sz w:val="26"/>
          <w:szCs w:val="26"/>
          <w:u w:val="none"/>
        </w:rPr>
        <w:t xml:space="preserve"> </w:t>
      </w:r>
    </w:p>
    <w:p w14:paraId="4D375523" w14:textId="7C9EBCC7" w:rsidR="00ED7168" w:rsidRPr="00E853D0" w:rsidRDefault="00ED7168" w:rsidP="005D2F2B">
      <w:pPr>
        <w:pStyle w:val="ListParagraph"/>
        <w:rPr>
          <w:rFonts w:ascii="Corbel" w:hAnsi="Corbel" w:cs="Arial"/>
          <w:sz w:val="26"/>
          <w:szCs w:val="26"/>
          <w:u w:val="none"/>
        </w:rPr>
      </w:pPr>
      <w:r w:rsidRPr="00E853D0">
        <w:rPr>
          <w:rFonts w:ascii="Corbel" w:hAnsi="Corbel" w:cs="Arial"/>
          <w:sz w:val="26"/>
          <w:szCs w:val="26"/>
          <w:u w:val="none"/>
        </w:rPr>
        <w:t>The research indicates that having either a cognitive or a non</w:t>
      </w:r>
      <w:r w:rsidR="00046D03">
        <w:rPr>
          <w:rFonts w:ascii="Corbel" w:hAnsi="Corbel" w:cs="Arial"/>
          <w:sz w:val="26"/>
          <w:szCs w:val="26"/>
          <w:u w:val="none"/>
        </w:rPr>
        <w:t>-</w:t>
      </w:r>
      <w:r w:rsidRPr="00E853D0">
        <w:rPr>
          <w:rFonts w:ascii="Corbel" w:hAnsi="Corbel" w:cs="Arial"/>
          <w:sz w:val="26"/>
          <w:szCs w:val="26"/>
          <w:u w:val="none"/>
        </w:rPr>
        <w:t xml:space="preserve">cognitive secondary disability is a risk factor, hampering attainment of high earnings (over SGA) as well as competitive employment. These individuals will need special attention that considers their specific secondary disability and may involve and depend on degree of residual vision. </w:t>
      </w:r>
    </w:p>
    <w:p w14:paraId="5ECA0039" w14:textId="6FCB5D0A" w:rsidR="00ED7168" w:rsidRPr="00E853D0" w:rsidRDefault="00ED7168" w:rsidP="00E672C6">
      <w:pPr>
        <w:pStyle w:val="ListParagraph"/>
        <w:numPr>
          <w:ilvl w:val="0"/>
          <w:numId w:val="15"/>
        </w:numPr>
        <w:ind w:left="360"/>
        <w:rPr>
          <w:rFonts w:ascii="Corbel" w:hAnsi="Corbel" w:cs="Arial"/>
          <w:sz w:val="26"/>
          <w:szCs w:val="26"/>
          <w:u w:val="none"/>
        </w:rPr>
      </w:pPr>
      <w:r w:rsidRPr="00E853D0">
        <w:rPr>
          <w:rFonts w:ascii="Corbel" w:hAnsi="Corbel" w:cs="Arial"/>
          <w:sz w:val="26"/>
          <w:szCs w:val="26"/>
        </w:rPr>
        <w:t xml:space="preserve">Recognize that adequate consumer education level is an important factor for employment success </w:t>
      </w:r>
      <w:r w:rsidRPr="005D2F2B">
        <w:rPr>
          <w:rFonts w:ascii="Corbel" w:hAnsi="Corbel" w:cs="Arial"/>
          <w:sz w:val="26"/>
          <w:szCs w:val="26"/>
        </w:rPr>
        <w:t xml:space="preserve">and high closure earnings </w:t>
      </w:r>
      <w:r w:rsidRPr="00E853D0">
        <w:rPr>
          <w:rFonts w:ascii="Corbel" w:hAnsi="Corbel" w:cs="Arial"/>
          <w:sz w:val="26"/>
          <w:szCs w:val="26"/>
        </w:rPr>
        <w:t>of SSDI consumers. Service planning should encourage educational development, preferably toward a specific certificate or degree, whenever possible.</w:t>
      </w:r>
    </w:p>
    <w:p w14:paraId="78E8BD2C" w14:textId="77777777" w:rsidR="005D2F2B" w:rsidRDefault="00ED7168" w:rsidP="00E672C6">
      <w:pPr>
        <w:pStyle w:val="ListParagraph"/>
        <w:numPr>
          <w:ilvl w:val="0"/>
          <w:numId w:val="15"/>
        </w:numPr>
        <w:ind w:left="360"/>
        <w:rPr>
          <w:rFonts w:ascii="Corbel" w:hAnsi="Corbel" w:cs="Arial"/>
          <w:sz w:val="26"/>
          <w:szCs w:val="26"/>
          <w:u w:val="none"/>
        </w:rPr>
      </w:pPr>
      <w:r w:rsidRPr="00E853D0">
        <w:rPr>
          <w:rFonts w:ascii="Corbel" w:hAnsi="Corbel" w:cs="Arial"/>
          <w:sz w:val="26"/>
          <w:szCs w:val="26"/>
        </w:rPr>
        <w:t xml:space="preserve">VR service providers and administrators should keep in mind the importance of prior work history, its evidence of positive VR employment outcome potential—including high </w:t>
      </w:r>
      <w:proofErr w:type="gramStart"/>
      <w:r w:rsidRPr="00E853D0">
        <w:rPr>
          <w:rFonts w:ascii="Corbel" w:hAnsi="Corbel" w:cs="Arial"/>
          <w:sz w:val="26"/>
          <w:szCs w:val="26"/>
        </w:rPr>
        <w:t>earnings, and</w:t>
      </w:r>
      <w:proofErr w:type="gramEnd"/>
      <w:r w:rsidRPr="00E853D0">
        <w:rPr>
          <w:rFonts w:ascii="Corbel" w:hAnsi="Corbel" w:cs="Arial"/>
          <w:sz w:val="26"/>
          <w:szCs w:val="26"/>
        </w:rPr>
        <w:t xml:space="preserve"> should establish policies that strongly encourage opportunities for consumers to gain work experience or build on existing work experience early in the VR process.</w:t>
      </w:r>
      <w:r w:rsidR="00046D03" w:rsidRPr="00046D03">
        <w:rPr>
          <w:rFonts w:ascii="Corbel" w:hAnsi="Corbel" w:cs="Arial"/>
          <w:sz w:val="26"/>
          <w:szCs w:val="26"/>
          <w:u w:val="none"/>
        </w:rPr>
        <w:t xml:space="preserve"> </w:t>
      </w:r>
    </w:p>
    <w:p w14:paraId="067762C0" w14:textId="72C37983" w:rsidR="00ED7168" w:rsidRPr="00E853D0" w:rsidRDefault="00ED7168" w:rsidP="005D2F2B">
      <w:pPr>
        <w:pStyle w:val="ListParagraph"/>
        <w:rPr>
          <w:rFonts w:ascii="Corbel" w:hAnsi="Corbel" w:cs="Arial"/>
          <w:sz w:val="26"/>
          <w:szCs w:val="26"/>
          <w:u w:val="none"/>
        </w:rPr>
      </w:pPr>
      <w:r w:rsidRPr="00E853D0">
        <w:rPr>
          <w:rFonts w:ascii="Corbel" w:hAnsi="Corbel" w:cs="Arial"/>
          <w:sz w:val="26"/>
          <w:szCs w:val="26"/>
          <w:u w:val="none"/>
        </w:rPr>
        <w:t>Keep in mind internships, apprenticeships, and pre-employment training experiences that can build on present experiences.</w:t>
      </w:r>
      <w:r w:rsidR="005D2F2B">
        <w:rPr>
          <w:rFonts w:ascii="Corbel" w:hAnsi="Corbel" w:cs="Arial"/>
          <w:sz w:val="26"/>
          <w:szCs w:val="26"/>
          <w:u w:val="none"/>
        </w:rPr>
        <w:t xml:space="preserve"> </w:t>
      </w:r>
      <w:r w:rsidRPr="00E853D0">
        <w:rPr>
          <w:rFonts w:ascii="Corbel" w:hAnsi="Corbel" w:cs="Arial"/>
          <w:sz w:val="26"/>
          <w:szCs w:val="26"/>
          <w:u w:val="none"/>
        </w:rPr>
        <w:t>Also, keep in mind the timing and readiness of the consumer to maximally benefit from work experiences. Consumers might need to develop certain skills—proficiency with assistive technology, good communication skills, and so on—before they can have successful work experiences. Depending on development of these necessary skills, the work experiences may not always be “early” in the VR process.</w:t>
      </w:r>
    </w:p>
    <w:p w14:paraId="5DDAC556" w14:textId="77777777" w:rsidR="005D2F2B" w:rsidRPr="005D2F2B" w:rsidRDefault="00ED7168" w:rsidP="00E672C6">
      <w:pPr>
        <w:pStyle w:val="ListParagraph"/>
        <w:numPr>
          <w:ilvl w:val="0"/>
          <w:numId w:val="15"/>
        </w:numPr>
        <w:ind w:left="360"/>
        <w:rPr>
          <w:rFonts w:ascii="Corbel" w:hAnsi="Corbel"/>
          <w:sz w:val="26"/>
          <w:szCs w:val="26"/>
        </w:rPr>
      </w:pPr>
      <w:r w:rsidRPr="00E853D0">
        <w:rPr>
          <w:rFonts w:ascii="Corbel" w:hAnsi="Corbel" w:cs="Arial"/>
          <w:sz w:val="26"/>
          <w:szCs w:val="26"/>
        </w:rPr>
        <w:t>Be aware that job-related services (job placement and search, and on-the-job supports and training) are important when pursuing employment with high earnings, such as exceeding SGA.</w:t>
      </w:r>
      <w:r w:rsidR="00046D03" w:rsidRPr="00046D03">
        <w:rPr>
          <w:rFonts w:ascii="Corbel" w:hAnsi="Corbel" w:cs="Arial"/>
          <w:sz w:val="26"/>
          <w:szCs w:val="26"/>
          <w:u w:val="none"/>
        </w:rPr>
        <w:t xml:space="preserve"> </w:t>
      </w:r>
    </w:p>
    <w:p w14:paraId="2D1423A3" w14:textId="2CD16C94" w:rsidR="00ED7168" w:rsidRPr="00E853D0" w:rsidRDefault="00ED7168" w:rsidP="005D2F2B">
      <w:pPr>
        <w:pStyle w:val="ListParagraph"/>
        <w:rPr>
          <w:rFonts w:ascii="Corbel" w:hAnsi="Corbel"/>
          <w:sz w:val="26"/>
          <w:szCs w:val="26"/>
        </w:rPr>
      </w:pPr>
      <w:r w:rsidRPr="00E853D0">
        <w:rPr>
          <w:rFonts w:ascii="Corbel" w:hAnsi="Corbel" w:cs="Arial"/>
          <w:sz w:val="26"/>
          <w:szCs w:val="26"/>
          <w:u w:val="none"/>
        </w:rPr>
        <w:t xml:space="preserve">It is important not to assume that highly job ready consumers would not benefit from assistance in finding high earnings positions. </w:t>
      </w:r>
      <w:r w:rsidR="0021156F" w:rsidRPr="00E853D0">
        <w:rPr>
          <w:rFonts w:ascii="Corbel" w:hAnsi="Corbel" w:cs="Arial"/>
          <w:sz w:val="26"/>
          <w:szCs w:val="26"/>
          <w:u w:val="none"/>
        </w:rPr>
        <w:br/>
      </w:r>
    </w:p>
    <w:p w14:paraId="3AC44D94" w14:textId="2101C82B" w:rsidR="000167DB" w:rsidRPr="00E853D0" w:rsidRDefault="000167DB" w:rsidP="00ED7168">
      <w:pPr>
        <w:pStyle w:val="ListParagraph"/>
        <w:ind w:left="0"/>
        <w:rPr>
          <w:rFonts w:ascii="Corbel" w:hAnsi="Corbel" w:cs="Arial"/>
          <w:sz w:val="26"/>
          <w:szCs w:val="26"/>
          <w:u w:val="none"/>
        </w:rPr>
      </w:pPr>
    </w:p>
    <w:p w14:paraId="77AF77EB" w14:textId="77777777" w:rsidR="00E853D0" w:rsidRPr="00E853D0" w:rsidRDefault="00E853D0">
      <w:pPr>
        <w:rPr>
          <w:rFonts w:ascii="Corbel" w:hAnsi="Corbel"/>
          <w:b/>
          <w:sz w:val="26"/>
          <w:szCs w:val="26"/>
          <w:u w:val="none"/>
        </w:rPr>
      </w:pPr>
      <w:r w:rsidRPr="00E853D0">
        <w:rPr>
          <w:rFonts w:ascii="Corbel" w:hAnsi="Corbel"/>
          <w:b/>
          <w:sz w:val="26"/>
          <w:szCs w:val="26"/>
          <w:u w:val="none"/>
        </w:rPr>
        <w:br w:type="page"/>
      </w:r>
    </w:p>
    <w:p w14:paraId="17E0FF55" w14:textId="3D2CB884" w:rsidR="00C40794" w:rsidRPr="00E853D0" w:rsidRDefault="00C40794" w:rsidP="00452D39">
      <w:pPr>
        <w:ind w:left="0" w:firstLine="0"/>
        <w:jc w:val="center"/>
        <w:rPr>
          <w:rFonts w:ascii="Corbel" w:hAnsi="Corbel"/>
          <w:b/>
          <w:sz w:val="26"/>
          <w:szCs w:val="26"/>
          <w:u w:val="none"/>
        </w:rPr>
      </w:pPr>
      <w:r w:rsidRPr="00E853D0">
        <w:rPr>
          <w:rFonts w:ascii="Corbel" w:hAnsi="Corbel"/>
          <w:b/>
          <w:sz w:val="28"/>
          <w:szCs w:val="26"/>
          <w:u w:val="none"/>
        </w:rPr>
        <w:lastRenderedPageBreak/>
        <w:t>More Information</w:t>
      </w:r>
    </w:p>
    <w:p w14:paraId="2DB02E2E" w14:textId="77777777" w:rsidR="00C40794" w:rsidRPr="00E853D0" w:rsidRDefault="00C40794" w:rsidP="0048041B">
      <w:pPr>
        <w:ind w:firstLine="0"/>
        <w:rPr>
          <w:rFonts w:ascii="Corbel" w:hAnsi="Corbel"/>
          <w:sz w:val="26"/>
          <w:szCs w:val="26"/>
          <w:u w:val="none"/>
        </w:rPr>
      </w:pPr>
    </w:p>
    <w:p w14:paraId="5AE86D6E" w14:textId="7E95AD0E" w:rsidR="005369A5" w:rsidRPr="00E853D0" w:rsidRDefault="00C85938" w:rsidP="00C85938">
      <w:pPr>
        <w:ind w:left="0" w:firstLine="0"/>
        <w:rPr>
          <w:rFonts w:ascii="Corbel" w:hAnsi="Corbel"/>
          <w:sz w:val="26"/>
          <w:szCs w:val="26"/>
          <w:u w:val="none"/>
        </w:rPr>
      </w:pPr>
      <w:r w:rsidRPr="00E853D0">
        <w:rPr>
          <w:rFonts w:ascii="Corbel" w:hAnsi="Corbel"/>
          <w:sz w:val="26"/>
          <w:szCs w:val="26"/>
          <w:u w:val="none"/>
        </w:rPr>
        <w:t>More detailed information about the research results and methodology used is provided in the following sources. These publications are available for download from the website of The National Research &amp; Training Center on Blindness &amp; Low Vision (</w:t>
      </w:r>
      <w:hyperlink r:id="rId12" w:history="1">
        <w:r w:rsidR="00E75081" w:rsidRPr="00A757E0">
          <w:rPr>
            <w:rStyle w:val="Hyperlink"/>
          </w:rPr>
          <w:t>https://www.blind.msstate.edu/research/publications/citations</w:t>
        </w:r>
      </w:hyperlink>
      <w:r w:rsidR="00E75081" w:rsidRPr="00E75081">
        <w:rPr>
          <w:u w:val="none"/>
        </w:rPr>
        <w:t xml:space="preserve">) </w:t>
      </w:r>
      <w:r w:rsidRPr="00E853D0">
        <w:rPr>
          <w:rFonts w:ascii="Corbel" w:hAnsi="Corbel"/>
          <w:sz w:val="26"/>
          <w:szCs w:val="26"/>
          <w:u w:val="none"/>
        </w:rPr>
        <w:t xml:space="preserve">or upon request. </w:t>
      </w:r>
    </w:p>
    <w:p w14:paraId="21BB032F" w14:textId="77777777" w:rsidR="00C40794" w:rsidRPr="00E853D0" w:rsidRDefault="00C40794" w:rsidP="00C85938">
      <w:pPr>
        <w:ind w:firstLine="0"/>
        <w:rPr>
          <w:rFonts w:ascii="Corbel" w:hAnsi="Corbel"/>
          <w:sz w:val="26"/>
          <w:szCs w:val="26"/>
          <w:u w:val="none"/>
        </w:rPr>
      </w:pPr>
    </w:p>
    <w:p w14:paraId="1E75DCF8" w14:textId="77777777" w:rsidR="00136965" w:rsidRPr="00E853D0" w:rsidRDefault="00136965" w:rsidP="00136965">
      <w:pPr>
        <w:ind w:hanging="720"/>
        <w:rPr>
          <w:rFonts w:ascii="Corbel" w:hAnsi="Corbel"/>
          <w:sz w:val="26"/>
          <w:szCs w:val="26"/>
          <w:u w:val="none"/>
        </w:rPr>
      </w:pPr>
      <w:r w:rsidRPr="00E853D0">
        <w:rPr>
          <w:rFonts w:ascii="Corbel" w:hAnsi="Corbel"/>
          <w:sz w:val="26"/>
          <w:szCs w:val="26"/>
          <w:u w:val="none"/>
        </w:rPr>
        <w:t xml:space="preserve">Giesen, J. M., &amp; Cavenaugh, B. S. (2013). Disability insurance beneficiaries with visual impairments in vocational rehabilitation: Socio-demographic influences on employment. </w:t>
      </w:r>
      <w:r w:rsidRPr="00E853D0">
        <w:rPr>
          <w:rFonts w:ascii="Corbel" w:hAnsi="Corbel"/>
          <w:i/>
          <w:sz w:val="26"/>
          <w:szCs w:val="26"/>
          <w:u w:val="none"/>
        </w:rPr>
        <w:t>Journal of Visual Impairment &amp; Blindness, 107</w:t>
      </w:r>
      <w:r w:rsidRPr="00E853D0">
        <w:rPr>
          <w:rFonts w:ascii="Corbel" w:hAnsi="Corbel"/>
          <w:sz w:val="26"/>
          <w:szCs w:val="26"/>
          <w:u w:val="none"/>
        </w:rPr>
        <w:t>(6), 453-467.</w:t>
      </w:r>
    </w:p>
    <w:p w14:paraId="2AAAE718" w14:textId="77777777" w:rsidR="00136965" w:rsidRPr="00E853D0" w:rsidRDefault="00136965" w:rsidP="00136965">
      <w:pPr>
        <w:ind w:hanging="720"/>
        <w:rPr>
          <w:rFonts w:ascii="Corbel" w:hAnsi="Corbel"/>
          <w:sz w:val="26"/>
          <w:szCs w:val="26"/>
          <w:u w:val="none"/>
        </w:rPr>
      </w:pPr>
    </w:p>
    <w:p w14:paraId="797044C1" w14:textId="77777777" w:rsidR="00136965" w:rsidRPr="00E853D0" w:rsidRDefault="00E34F9C" w:rsidP="00136965">
      <w:pPr>
        <w:ind w:hanging="720"/>
        <w:rPr>
          <w:rFonts w:ascii="Corbel" w:hAnsi="Corbel"/>
          <w:sz w:val="26"/>
          <w:szCs w:val="26"/>
          <w:u w:val="none"/>
        </w:rPr>
      </w:pPr>
      <w:r w:rsidRPr="00E853D0">
        <w:rPr>
          <w:rFonts w:ascii="Corbel" w:hAnsi="Corbel"/>
          <w:sz w:val="26"/>
          <w:szCs w:val="26"/>
          <w:u w:val="none"/>
        </w:rPr>
        <w:t>Giesen, J.</w:t>
      </w:r>
      <w:r w:rsidR="00191A97" w:rsidRPr="00E853D0">
        <w:rPr>
          <w:rFonts w:ascii="Corbel" w:hAnsi="Corbel"/>
          <w:sz w:val="26"/>
          <w:szCs w:val="26"/>
          <w:u w:val="none"/>
        </w:rPr>
        <w:t xml:space="preserve"> M.</w:t>
      </w:r>
      <w:r w:rsidRPr="00E853D0">
        <w:rPr>
          <w:rFonts w:ascii="Corbel" w:hAnsi="Corbel"/>
          <w:sz w:val="26"/>
          <w:szCs w:val="26"/>
          <w:u w:val="none"/>
        </w:rPr>
        <w:t xml:space="preserve">, &amp; Hierholzer, A. (2016). Vocational rehabilitation services and employment for SSDI beneficiaries with visual impairments. </w:t>
      </w:r>
      <w:r w:rsidRPr="00E853D0">
        <w:rPr>
          <w:rFonts w:ascii="Corbel" w:hAnsi="Corbel"/>
          <w:i/>
          <w:sz w:val="26"/>
          <w:szCs w:val="26"/>
          <w:u w:val="none"/>
        </w:rPr>
        <w:t>Journal of Vocational Rehabilitation, 44</w:t>
      </w:r>
      <w:r w:rsidRPr="00E853D0">
        <w:rPr>
          <w:rFonts w:ascii="Corbel" w:hAnsi="Corbel"/>
          <w:sz w:val="26"/>
          <w:szCs w:val="26"/>
          <w:u w:val="none"/>
        </w:rPr>
        <w:t>(2), 175-189. doi:10.3233/JVR-150789</w:t>
      </w:r>
    </w:p>
    <w:p w14:paraId="630A936D" w14:textId="77777777" w:rsidR="00E34F9C" w:rsidRPr="00E853D0" w:rsidRDefault="00E34F9C" w:rsidP="00136965">
      <w:pPr>
        <w:ind w:hanging="720"/>
        <w:rPr>
          <w:rFonts w:ascii="Corbel" w:hAnsi="Corbel"/>
          <w:sz w:val="26"/>
          <w:szCs w:val="26"/>
          <w:u w:val="none"/>
        </w:rPr>
      </w:pPr>
    </w:p>
    <w:p w14:paraId="27C6AB6B" w14:textId="2B289D79" w:rsidR="00136965" w:rsidRPr="00E853D0" w:rsidRDefault="00E34F9C" w:rsidP="00E34F9C">
      <w:pPr>
        <w:ind w:hanging="720"/>
        <w:rPr>
          <w:rFonts w:ascii="Corbel" w:hAnsi="Corbel"/>
          <w:sz w:val="26"/>
          <w:szCs w:val="26"/>
          <w:u w:val="none"/>
        </w:rPr>
      </w:pPr>
      <w:r w:rsidRPr="00E853D0">
        <w:rPr>
          <w:rFonts w:ascii="Corbel" w:hAnsi="Corbel"/>
          <w:sz w:val="26"/>
          <w:szCs w:val="26"/>
          <w:u w:val="none"/>
        </w:rPr>
        <w:t>Giesen, J.</w:t>
      </w:r>
      <w:r w:rsidR="00191A97" w:rsidRPr="00E853D0">
        <w:rPr>
          <w:rFonts w:ascii="Corbel" w:hAnsi="Corbel"/>
          <w:sz w:val="26"/>
          <w:szCs w:val="26"/>
          <w:u w:val="none"/>
        </w:rPr>
        <w:t xml:space="preserve"> M.</w:t>
      </w:r>
      <w:r w:rsidRPr="00E853D0">
        <w:rPr>
          <w:rFonts w:ascii="Corbel" w:hAnsi="Corbel"/>
          <w:sz w:val="26"/>
          <w:szCs w:val="26"/>
          <w:u w:val="none"/>
        </w:rPr>
        <w:t>, &amp; Hierholzer, A. (</w:t>
      </w:r>
      <w:r w:rsidR="00F4132A" w:rsidRPr="00E853D0">
        <w:rPr>
          <w:rFonts w:ascii="Corbel" w:hAnsi="Corbel"/>
          <w:sz w:val="26"/>
          <w:szCs w:val="26"/>
          <w:u w:val="none"/>
        </w:rPr>
        <w:t xml:space="preserve">in </w:t>
      </w:r>
      <w:r w:rsidR="005B0778" w:rsidRPr="00E853D0">
        <w:rPr>
          <w:rFonts w:ascii="Corbel" w:hAnsi="Corbel"/>
          <w:sz w:val="26"/>
          <w:szCs w:val="26"/>
          <w:u w:val="none"/>
        </w:rPr>
        <w:t>review</w:t>
      </w:r>
      <w:r w:rsidRPr="00E853D0">
        <w:rPr>
          <w:rFonts w:ascii="Corbel" w:hAnsi="Corbel"/>
          <w:sz w:val="26"/>
          <w:szCs w:val="26"/>
          <w:u w:val="none"/>
        </w:rPr>
        <w:t xml:space="preserve">). The predictors of earnings enabling likely roll departure for SSDI beneficiaries with visual impairments in Vocational Rehabilitation. </w:t>
      </w:r>
      <w:r w:rsidR="00FA407E" w:rsidRPr="00E853D0">
        <w:rPr>
          <w:rFonts w:ascii="Corbel" w:hAnsi="Corbel"/>
          <w:sz w:val="26"/>
          <w:szCs w:val="26"/>
          <w:u w:val="none"/>
        </w:rPr>
        <w:t>In r</w:t>
      </w:r>
      <w:r w:rsidRPr="00E853D0">
        <w:rPr>
          <w:rFonts w:ascii="Corbel" w:hAnsi="Corbel"/>
          <w:sz w:val="26"/>
          <w:szCs w:val="26"/>
          <w:u w:val="none"/>
        </w:rPr>
        <w:t xml:space="preserve">eview, </w:t>
      </w:r>
      <w:r w:rsidRPr="00E853D0">
        <w:rPr>
          <w:rFonts w:ascii="Corbel" w:hAnsi="Corbel"/>
          <w:i/>
          <w:sz w:val="26"/>
          <w:szCs w:val="26"/>
          <w:u w:val="none"/>
        </w:rPr>
        <w:t>Journal of Disability Policy Studies</w:t>
      </w:r>
      <w:r w:rsidRPr="00E853D0">
        <w:rPr>
          <w:rFonts w:ascii="Corbel" w:hAnsi="Corbel"/>
          <w:sz w:val="26"/>
          <w:szCs w:val="26"/>
          <w:u w:val="none"/>
        </w:rPr>
        <w:t>.</w:t>
      </w:r>
    </w:p>
    <w:p w14:paraId="38652C33" w14:textId="77777777" w:rsidR="00C40794" w:rsidRPr="00E853D0" w:rsidRDefault="00C40794" w:rsidP="0048041B">
      <w:pPr>
        <w:ind w:firstLine="0"/>
        <w:rPr>
          <w:rFonts w:ascii="Corbel" w:hAnsi="Corbel"/>
          <w:sz w:val="26"/>
          <w:szCs w:val="26"/>
          <w:u w:val="none"/>
        </w:rPr>
      </w:pPr>
    </w:p>
    <w:p w14:paraId="1C5D6491" w14:textId="77777777" w:rsidR="00C40794" w:rsidRPr="00E853D0" w:rsidRDefault="00C40794" w:rsidP="00452D39">
      <w:pPr>
        <w:ind w:left="0" w:firstLine="0"/>
        <w:jc w:val="center"/>
        <w:rPr>
          <w:rFonts w:ascii="Corbel" w:hAnsi="Corbel"/>
          <w:b/>
          <w:sz w:val="28"/>
          <w:szCs w:val="26"/>
          <w:u w:val="none"/>
        </w:rPr>
      </w:pPr>
      <w:r w:rsidRPr="00E853D0">
        <w:rPr>
          <w:rFonts w:ascii="Corbel" w:hAnsi="Corbel"/>
          <w:b/>
          <w:sz w:val="28"/>
          <w:szCs w:val="26"/>
          <w:u w:val="none"/>
        </w:rPr>
        <w:t>Other References</w:t>
      </w:r>
    </w:p>
    <w:p w14:paraId="66A8A87E" w14:textId="77777777" w:rsidR="00384A0D" w:rsidRPr="00E853D0" w:rsidRDefault="00384A0D" w:rsidP="0048041B">
      <w:pPr>
        <w:ind w:firstLine="0"/>
        <w:rPr>
          <w:rFonts w:ascii="Corbel" w:hAnsi="Corbel"/>
          <w:sz w:val="26"/>
          <w:szCs w:val="26"/>
          <w:u w:val="none"/>
        </w:rPr>
      </w:pPr>
    </w:p>
    <w:p w14:paraId="6F54E46E" w14:textId="77777777" w:rsidR="00D21438" w:rsidRPr="00E853D0" w:rsidRDefault="00D21438" w:rsidP="00D21438">
      <w:pPr>
        <w:ind w:hanging="720"/>
        <w:rPr>
          <w:rFonts w:ascii="Corbel" w:hAnsi="Corbel"/>
          <w:sz w:val="26"/>
          <w:szCs w:val="26"/>
          <w:u w:val="none"/>
        </w:rPr>
      </w:pPr>
      <w:r w:rsidRPr="00E853D0">
        <w:rPr>
          <w:rFonts w:ascii="Corbel" w:hAnsi="Corbel"/>
          <w:sz w:val="26"/>
          <w:szCs w:val="26"/>
          <w:u w:val="none"/>
        </w:rPr>
        <w:t xml:space="preserve">Ben-Shalom, Y., &amp; Mamun, A. A. (2015). Return-to-work outcomes among Social Security Disability Insurance program beneficiaries. </w:t>
      </w:r>
      <w:r w:rsidRPr="00E853D0">
        <w:rPr>
          <w:rFonts w:ascii="Corbel" w:hAnsi="Corbel"/>
          <w:i/>
          <w:sz w:val="26"/>
          <w:szCs w:val="26"/>
          <w:u w:val="none"/>
        </w:rPr>
        <w:t>Journal of Disability Policy Studies</w:t>
      </w:r>
      <w:r w:rsidRPr="00E853D0">
        <w:rPr>
          <w:rFonts w:ascii="Corbel" w:hAnsi="Corbel"/>
          <w:sz w:val="26"/>
          <w:szCs w:val="26"/>
          <w:u w:val="none"/>
        </w:rPr>
        <w:t xml:space="preserve">, </w:t>
      </w:r>
      <w:r w:rsidRPr="00E853D0">
        <w:rPr>
          <w:rFonts w:ascii="Corbel" w:hAnsi="Corbel"/>
          <w:i/>
          <w:sz w:val="26"/>
          <w:szCs w:val="26"/>
          <w:u w:val="none"/>
        </w:rPr>
        <w:t>26</w:t>
      </w:r>
      <w:r w:rsidRPr="00E853D0">
        <w:rPr>
          <w:rFonts w:ascii="Corbel" w:hAnsi="Corbel"/>
          <w:sz w:val="26"/>
          <w:szCs w:val="26"/>
          <w:u w:val="none"/>
        </w:rPr>
        <w:t>(2), 100-110.</w:t>
      </w:r>
    </w:p>
    <w:p w14:paraId="26CC3710" w14:textId="77777777" w:rsidR="00D21438" w:rsidRPr="00E853D0" w:rsidRDefault="00D21438" w:rsidP="00D21438">
      <w:pPr>
        <w:ind w:hanging="720"/>
        <w:rPr>
          <w:rFonts w:ascii="Corbel" w:hAnsi="Corbel"/>
          <w:sz w:val="26"/>
          <w:szCs w:val="26"/>
          <w:u w:val="none"/>
        </w:rPr>
      </w:pPr>
    </w:p>
    <w:p w14:paraId="03693842" w14:textId="77777777" w:rsidR="00D21438" w:rsidRPr="00E853D0" w:rsidRDefault="00D21438" w:rsidP="00D21438">
      <w:pPr>
        <w:ind w:hanging="720"/>
        <w:rPr>
          <w:rFonts w:ascii="Corbel" w:hAnsi="Corbel"/>
          <w:sz w:val="26"/>
          <w:szCs w:val="26"/>
          <w:u w:val="none"/>
        </w:rPr>
      </w:pPr>
      <w:r w:rsidRPr="00E853D0">
        <w:rPr>
          <w:rFonts w:ascii="Corbel" w:hAnsi="Corbel"/>
          <w:sz w:val="26"/>
          <w:szCs w:val="26"/>
          <w:u w:val="none"/>
        </w:rPr>
        <w:t xml:space="preserve">Capella-McDonnall, M.E. (2005). Predictors of competitive employment for blind and visually impaired consumers of vocational rehabilitation services. </w:t>
      </w:r>
      <w:r w:rsidRPr="00E853D0">
        <w:rPr>
          <w:rFonts w:ascii="Corbel" w:hAnsi="Corbel"/>
          <w:i/>
          <w:sz w:val="26"/>
          <w:szCs w:val="26"/>
          <w:u w:val="none"/>
        </w:rPr>
        <w:t>Journal of Visual Impairment &amp; Blindness, 99</w:t>
      </w:r>
      <w:r w:rsidRPr="00E853D0">
        <w:rPr>
          <w:rFonts w:ascii="Corbel" w:hAnsi="Corbel"/>
          <w:sz w:val="26"/>
          <w:szCs w:val="26"/>
          <w:u w:val="none"/>
        </w:rPr>
        <w:t>(5), 303-315.</w:t>
      </w:r>
    </w:p>
    <w:p w14:paraId="769FEE7A" w14:textId="77777777" w:rsidR="00D21438" w:rsidRPr="00E853D0" w:rsidRDefault="00D21438" w:rsidP="00C0412E">
      <w:pPr>
        <w:ind w:hanging="720"/>
        <w:rPr>
          <w:rFonts w:ascii="Corbel" w:hAnsi="Corbel"/>
          <w:sz w:val="26"/>
          <w:szCs w:val="26"/>
          <w:u w:val="none"/>
        </w:rPr>
      </w:pPr>
    </w:p>
    <w:p w14:paraId="708CA87E" w14:textId="77777777" w:rsidR="00C0412E" w:rsidRPr="00E853D0" w:rsidRDefault="00C0412E" w:rsidP="00C0412E">
      <w:pPr>
        <w:ind w:hanging="720"/>
        <w:rPr>
          <w:rFonts w:ascii="Corbel" w:hAnsi="Corbel"/>
          <w:sz w:val="26"/>
          <w:szCs w:val="26"/>
          <w:u w:val="none"/>
        </w:rPr>
      </w:pPr>
      <w:r w:rsidRPr="00E853D0">
        <w:rPr>
          <w:rFonts w:ascii="Corbel" w:hAnsi="Corbel"/>
          <w:sz w:val="26"/>
          <w:szCs w:val="26"/>
          <w:u w:val="none"/>
        </w:rPr>
        <w:t xml:space="preserve">Giesen, J. M., &amp; Cavenaugh, B. S. (2012). Transition-age youth who are blind in vocational rehabilitation: A new look at competitive outcomes and services. </w:t>
      </w:r>
      <w:r w:rsidRPr="00E853D0">
        <w:rPr>
          <w:rFonts w:ascii="Corbel" w:hAnsi="Corbel"/>
          <w:i/>
          <w:sz w:val="26"/>
          <w:szCs w:val="26"/>
          <w:u w:val="none"/>
        </w:rPr>
        <w:t>Journal of Visual Impairment &amp; Blindness, 106</w:t>
      </w:r>
      <w:r w:rsidRPr="00E853D0">
        <w:rPr>
          <w:rFonts w:ascii="Corbel" w:hAnsi="Corbel"/>
          <w:sz w:val="26"/>
          <w:szCs w:val="26"/>
          <w:u w:val="none"/>
        </w:rPr>
        <w:t>(8), 475-487.</w:t>
      </w:r>
    </w:p>
    <w:p w14:paraId="5F28D272" w14:textId="77777777" w:rsidR="00D21438" w:rsidRPr="00E853D0" w:rsidRDefault="00D21438" w:rsidP="00C0412E">
      <w:pPr>
        <w:ind w:hanging="720"/>
        <w:rPr>
          <w:rFonts w:ascii="Corbel" w:hAnsi="Corbel"/>
          <w:sz w:val="26"/>
          <w:szCs w:val="26"/>
          <w:u w:val="none"/>
        </w:rPr>
      </w:pPr>
    </w:p>
    <w:p w14:paraId="3C1E562D" w14:textId="77777777" w:rsidR="00D21438" w:rsidRPr="00E853D0" w:rsidRDefault="00D21438" w:rsidP="00C0412E">
      <w:pPr>
        <w:ind w:hanging="720"/>
        <w:rPr>
          <w:rFonts w:ascii="Corbel" w:hAnsi="Corbel"/>
          <w:sz w:val="26"/>
          <w:szCs w:val="26"/>
          <w:u w:val="none"/>
        </w:rPr>
      </w:pPr>
      <w:r w:rsidRPr="00E853D0">
        <w:rPr>
          <w:rFonts w:ascii="Corbel" w:hAnsi="Corbel"/>
          <w:sz w:val="26"/>
          <w:szCs w:val="26"/>
          <w:u w:val="none"/>
        </w:rPr>
        <w:t>Cavenaugh, B., Giesen, J., &amp; Pierce, S. (2000). Rehabilitation of visually impaired persons in separate and general agencies.</w:t>
      </w:r>
      <w:r w:rsidRPr="00E853D0">
        <w:rPr>
          <w:rFonts w:ascii="Corbel" w:hAnsi="Corbel"/>
          <w:i/>
          <w:iCs/>
          <w:sz w:val="26"/>
          <w:szCs w:val="26"/>
          <w:u w:val="none"/>
        </w:rPr>
        <w:t xml:space="preserve"> Journal of Visual Impairment and Blindness</w:t>
      </w:r>
      <w:r w:rsidRPr="00E853D0">
        <w:rPr>
          <w:rFonts w:ascii="Corbel" w:hAnsi="Corbel"/>
          <w:sz w:val="26"/>
          <w:szCs w:val="26"/>
          <w:u w:val="none"/>
        </w:rPr>
        <w:t>, 94 (3), 133-145.</w:t>
      </w:r>
    </w:p>
    <w:p w14:paraId="3A09998F" w14:textId="464DBA89" w:rsidR="000A033A" w:rsidRPr="00E853D0" w:rsidRDefault="000A033A" w:rsidP="00046D03">
      <w:pPr>
        <w:ind w:left="0" w:firstLine="0"/>
        <w:rPr>
          <w:rFonts w:ascii="Corbel" w:eastAsiaTheme="minorEastAsia" w:hAnsi="Corbel" w:cstheme="minorBidi"/>
          <w:kern w:val="24"/>
          <w:sz w:val="26"/>
          <w:szCs w:val="26"/>
        </w:rPr>
      </w:pPr>
    </w:p>
    <w:sectPr w:rsidR="000A033A" w:rsidRPr="00E853D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AB62" w14:textId="77777777" w:rsidR="008D5BA7" w:rsidRDefault="008D5BA7" w:rsidP="00AE5936">
      <w:r>
        <w:separator/>
      </w:r>
    </w:p>
  </w:endnote>
  <w:endnote w:type="continuationSeparator" w:id="0">
    <w:p w14:paraId="008D4A2B" w14:textId="77777777" w:rsidR="008D5BA7" w:rsidRDefault="008D5BA7" w:rsidP="00AE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541515255"/>
      <w:docPartObj>
        <w:docPartGallery w:val="Page Numbers (Bottom of Page)"/>
        <w:docPartUnique/>
      </w:docPartObj>
    </w:sdtPr>
    <w:sdtEndPr>
      <w:rPr>
        <w:noProof/>
      </w:rPr>
    </w:sdtEndPr>
    <w:sdtContent>
      <w:p w14:paraId="3E91012B" w14:textId="5B6F29A2" w:rsidR="00E853D0" w:rsidRPr="00E853D0" w:rsidRDefault="00E853D0">
        <w:pPr>
          <w:pStyle w:val="Footer"/>
          <w:jc w:val="center"/>
          <w:rPr>
            <w:u w:val="none"/>
          </w:rPr>
        </w:pPr>
        <w:r w:rsidRPr="00E853D0">
          <w:rPr>
            <w:u w:val="none"/>
          </w:rPr>
          <w:fldChar w:fldCharType="begin"/>
        </w:r>
        <w:r w:rsidRPr="00E853D0">
          <w:rPr>
            <w:u w:val="none"/>
          </w:rPr>
          <w:instrText xml:space="preserve"> PAGE   \* MERGEFORMAT </w:instrText>
        </w:r>
        <w:r w:rsidRPr="00E853D0">
          <w:rPr>
            <w:u w:val="none"/>
          </w:rPr>
          <w:fldChar w:fldCharType="separate"/>
        </w:r>
        <w:r w:rsidR="00E82AE0">
          <w:rPr>
            <w:noProof/>
            <w:u w:val="none"/>
          </w:rPr>
          <w:t>12</w:t>
        </w:r>
        <w:r w:rsidRPr="00E853D0">
          <w:rPr>
            <w:noProof/>
            <w:u w:val="none"/>
          </w:rPr>
          <w:fldChar w:fldCharType="end"/>
        </w:r>
      </w:p>
    </w:sdtContent>
  </w:sdt>
  <w:p w14:paraId="0A7DF68D" w14:textId="77777777" w:rsidR="00E853D0" w:rsidRDefault="00E8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066E" w14:textId="77777777" w:rsidR="008D5BA7" w:rsidRDefault="008D5BA7" w:rsidP="00AE5936">
      <w:r>
        <w:separator/>
      </w:r>
    </w:p>
  </w:footnote>
  <w:footnote w:type="continuationSeparator" w:id="0">
    <w:p w14:paraId="43ADC0DF" w14:textId="77777777" w:rsidR="008D5BA7" w:rsidRDefault="008D5BA7" w:rsidP="00AE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1735" w14:textId="6015D515" w:rsidR="00BD5255" w:rsidRPr="00BD5255" w:rsidRDefault="00BD5255">
    <w:pPr>
      <w:pStyle w:val="Header"/>
      <w:jc w:val="right"/>
      <w:rPr>
        <w:u w:val="none"/>
      </w:rPr>
    </w:pPr>
  </w:p>
  <w:p w14:paraId="459A31DB" w14:textId="77777777" w:rsidR="009B5637" w:rsidRDefault="009B5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29CF"/>
    <w:multiLevelType w:val="hybridMultilevel"/>
    <w:tmpl w:val="47E8E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DC0444"/>
    <w:multiLevelType w:val="hybridMultilevel"/>
    <w:tmpl w:val="C2C0E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15C36"/>
    <w:multiLevelType w:val="hybridMultilevel"/>
    <w:tmpl w:val="436A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C102F"/>
    <w:multiLevelType w:val="hybridMultilevel"/>
    <w:tmpl w:val="1A7C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D7365"/>
    <w:multiLevelType w:val="hybridMultilevel"/>
    <w:tmpl w:val="5608C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9A5796"/>
    <w:multiLevelType w:val="hybridMultilevel"/>
    <w:tmpl w:val="F15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3B3D96"/>
    <w:multiLevelType w:val="hybridMultilevel"/>
    <w:tmpl w:val="D87A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43DDA"/>
    <w:multiLevelType w:val="hybridMultilevel"/>
    <w:tmpl w:val="E6D2A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B0320"/>
    <w:multiLevelType w:val="hybridMultilevel"/>
    <w:tmpl w:val="EC7E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5194B"/>
    <w:multiLevelType w:val="hybridMultilevel"/>
    <w:tmpl w:val="0C847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753734"/>
    <w:multiLevelType w:val="hybridMultilevel"/>
    <w:tmpl w:val="EAA45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E8076D"/>
    <w:multiLevelType w:val="hybridMultilevel"/>
    <w:tmpl w:val="13A4B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7F0083"/>
    <w:multiLevelType w:val="hybridMultilevel"/>
    <w:tmpl w:val="877E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43625"/>
    <w:multiLevelType w:val="hybridMultilevel"/>
    <w:tmpl w:val="EC56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44FAE"/>
    <w:multiLevelType w:val="hybridMultilevel"/>
    <w:tmpl w:val="1A88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F1D9D"/>
    <w:multiLevelType w:val="hybridMultilevel"/>
    <w:tmpl w:val="9D76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929B7"/>
    <w:multiLevelType w:val="hybridMultilevel"/>
    <w:tmpl w:val="F7E0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579051">
    <w:abstractNumId w:val="13"/>
  </w:num>
  <w:num w:numId="2" w16cid:durableId="295264071">
    <w:abstractNumId w:val="6"/>
  </w:num>
  <w:num w:numId="3" w16cid:durableId="1370377181">
    <w:abstractNumId w:val="11"/>
  </w:num>
  <w:num w:numId="4" w16cid:durableId="1825273089">
    <w:abstractNumId w:val="0"/>
  </w:num>
  <w:num w:numId="5" w16cid:durableId="1384215312">
    <w:abstractNumId w:val="15"/>
  </w:num>
  <w:num w:numId="6" w16cid:durableId="703948335">
    <w:abstractNumId w:val="5"/>
  </w:num>
  <w:num w:numId="7" w16cid:durableId="60254364">
    <w:abstractNumId w:val="10"/>
  </w:num>
  <w:num w:numId="8" w16cid:durableId="1081028830">
    <w:abstractNumId w:val="2"/>
  </w:num>
  <w:num w:numId="9" w16cid:durableId="1388456891">
    <w:abstractNumId w:val="16"/>
  </w:num>
  <w:num w:numId="10" w16cid:durableId="1557858996">
    <w:abstractNumId w:val="1"/>
  </w:num>
  <w:num w:numId="11" w16cid:durableId="2147236630">
    <w:abstractNumId w:val="12"/>
  </w:num>
  <w:num w:numId="12" w16cid:durableId="1251042774">
    <w:abstractNumId w:val="3"/>
  </w:num>
  <w:num w:numId="13" w16cid:durableId="2018654497">
    <w:abstractNumId w:val="8"/>
  </w:num>
  <w:num w:numId="14" w16cid:durableId="751122056">
    <w:abstractNumId w:val="9"/>
  </w:num>
  <w:num w:numId="15" w16cid:durableId="77486021">
    <w:abstractNumId w:val="7"/>
  </w:num>
  <w:num w:numId="16" w16cid:durableId="950207832">
    <w:abstractNumId w:val="4"/>
  </w:num>
  <w:num w:numId="17" w16cid:durableId="2987320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MzS0NDM0MTazNDdW0lEKTi0uzszPAykwrAUArBhiCCwAAAA="/>
  </w:docVars>
  <w:rsids>
    <w:rsidRoot w:val="00022DBA"/>
    <w:rsid w:val="000014C0"/>
    <w:rsid w:val="00001F9E"/>
    <w:rsid w:val="00002755"/>
    <w:rsid w:val="00004FE1"/>
    <w:rsid w:val="00014EE9"/>
    <w:rsid w:val="000167DB"/>
    <w:rsid w:val="00016D67"/>
    <w:rsid w:val="00021D0E"/>
    <w:rsid w:val="00022DBA"/>
    <w:rsid w:val="00032457"/>
    <w:rsid w:val="0003456B"/>
    <w:rsid w:val="00036321"/>
    <w:rsid w:val="00040620"/>
    <w:rsid w:val="00042F91"/>
    <w:rsid w:val="00046D03"/>
    <w:rsid w:val="0005070E"/>
    <w:rsid w:val="00055A4C"/>
    <w:rsid w:val="00057246"/>
    <w:rsid w:val="00061EA7"/>
    <w:rsid w:val="0007266E"/>
    <w:rsid w:val="00073183"/>
    <w:rsid w:val="00074A4D"/>
    <w:rsid w:val="0007609D"/>
    <w:rsid w:val="00082F6B"/>
    <w:rsid w:val="00090671"/>
    <w:rsid w:val="00092350"/>
    <w:rsid w:val="000955B6"/>
    <w:rsid w:val="00096D49"/>
    <w:rsid w:val="000A033A"/>
    <w:rsid w:val="000A4A7D"/>
    <w:rsid w:val="000A711C"/>
    <w:rsid w:val="000B170B"/>
    <w:rsid w:val="000B6C6D"/>
    <w:rsid w:val="000C3CE5"/>
    <w:rsid w:val="000C633B"/>
    <w:rsid w:val="000E55ED"/>
    <w:rsid w:val="000E7072"/>
    <w:rsid w:val="000F0623"/>
    <w:rsid w:val="000F0B00"/>
    <w:rsid w:val="000F6A9C"/>
    <w:rsid w:val="001004E7"/>
    <w:rsid w:val="00115036"/>
    <w:rsid w:val="0011776A"/>
    <w:rsid w:val="001222D3"/>
    <w:rsid w:val="00130E17"/>
    <w:rsid w:val="00130F74"/>
    <w:rsid w:val="00131616"/>
    <w:rsid w:val="0013497D"/>
    <w:rsid w:val="0013561D"/>
    <w:rsid w:val="00136965"/>
    <w:rsid w:val="001401EF"/>
    <w:rsid w:val="001425E9"/>
    <w:rsid w:val="00146D35"/>
    <w:rsid w:val="0015226A"/>
    <w:rsid w:val="00156FC4"/>
    <w:rsid w:val="00163718"/>
    <w:rsid w:val="00165AB9"/>
    <w:rsid w:val="0017059C"/>
    <w:rsid w:val="0017589B"/>
    <w:rsid w:val="00181F7D"/>
    <w:rsid w:val="00183B75"/>
    <w:rsid w:val="00184A79"/>
    <w:rsid w:val="00191A97"/>
    <w:rsid w:val="00194875"/>
    <w:rsid w:val="00194CA5"/>
    <w:rsid w:val="0019547D"/>
    <w:rsid w:val="001A0422"/>
    <w:rsid w:val="001A289C"/>
    <w:rsid w:val="001A5363"/>
    <w:rsid w:val="001A59BC"/>
    <w:rsid w:val="001A6DD7"/>
    <w:rsid w:val="001B3631"/>
    <w:rsid w:val="001C58DE"/>
    <w:rsid w:val="001E21FE"/>
    <w:rsid w:val="001F5A03"/>
    <w:rsid w:val="00204F1C"/>
    <w:rsid w:val="0021156F"/>
    <w:rsid w:val="002206CF"/>
    <w:rsid w:val="00227B67"/>
    <w:rsid w:val="002570B9"/>
    <w:rsid w:val="0025788B"/>
    <w:rsid w:val="002629B4"/>
    <w:rsid w:val="00273B5F"/>
    <w:rsid w:val="00273F77"/>
    <w:rsid w:val="00281C85"/>
    <w:rsid w:val="00290B1A"/>
    <w:rsid w:val="002957FD"/>
    <w:rsid w:val="002A1CCE"/>
    <w:rsid w:val="002B15A6"/>
    <w:rsid w:val="002B1AC7"/>
    <w:rsid w:val="002B3636"/>
    <w:rsid w:val="002B37E4"/>
    <w:rsid w:val="002B7A74"/>
    <w:rsid w:val="002C324F"/>
    <w:rsid w:val="002C423E"/>
    <w:rsid w:val="002C512D"/>
    <w:rsid w:val="002C5EBC"/>
    <w:rsid w:val="002D1EEE"/>
    <w:rsid w:val="002D2FA6"/>
    <w:rsid w:val="002D5F4D"/>
    <w:rsid w:val="002F4687"/>
    <w:rsid w:val="002F4E30"/>
    <w:rsid w:val="00302FE4"/>
    <w:rsid w:val="003066DA"/>
    <w:rsid w:val="003123EC"/>
    <w:rsid w:val="00316F73"/>
    <w:rsid w:val="00322197"/>
    <w:rsid w:val="003302D3"/>
    <w:rsid w:val="00332563"/>
    <w:rsid w:val="003362A6"/>
    <w:rsid w:val="00337084"/>
    <w:rsid w:val="00343841"/>
    <w:rsid w:val="00347367"/>
    <w:rsid w:val="00353B05"/>
    <w:rsid w:val="00356509"/>
    <w:rsid w:val="00364B5E"/>
    <w:rsid w:val="0037361B"/>
    <w:rsid w:val="003756BF"/>
    <w:rsid w:val="003773A9"/>
    <w:rsid w:val="00377E1B"/>
    <w:rsid w:val="00384A0D"/>
    <w:rsid w:val="00387B32"/>
    <w:rsid w:val="00393C9D"/>
    <w:rsid w:val="00393DB7"/>
    <w:rsid w:val="00395291"/>
    <w:rsid w:val="00397123"/>
    <w:rsid w:val="003A2B59"/>
    <w:rsid w:val="003A5F7A"/>
    <w:rsid w:val="003B53E7"/>
    <w:rsid w:val="003C2605"/>
    <w:rsid w:val="003C39BA"/>
    <w:rsid w:val="003D5681"/>
    <w:rsid w:val="003E3BE9"/>
    <w:rsid w:val="003E672F"/>
    <w:rsid w:val="003F0300"/>
    <w:rsid w:val="003F4A55"/>
    <w:rsid w:val="003F6940"/>
    <w:rsid w:val="00400D4F"/>
    <w:rsid w:val="00411ECA"/>
    <w:rsid w:val="00412F6E"/>
    <w:rsid w:val="00417CC6"/>
    <w:rsid w:val="0042058E"/>
    <w:rsid w:val="00420AF6"/>
    <w:rsid w:val="004227F1"/>
    <w:rsid w:val="00423CBD"/>
    <w:rsid w:val="00432052"/>
    <w:rsid w:val="004346DC"/>
    <w:rsid w:val="00451EA1"/>
    <w:rsid w:val="00452D39"/>
    <w:rsid w:val="0045332D"/>
    <w:rsid w:val="0045364D"/>
    <w:rsid w:val="0046593E"/>
    <w:rsid w:val="004749B4"/>
    <w:rsid w:val="00475E2F"/>
    <w:rsid w:val="0048041B"/>
    <w:rsid w:val="00485318"/>
    <w:rsid w:val="00485DAF"/>
    <w:rsid w:val="004A2558"/>
    <w:rsid w:val="004A4A34"/>
    <w:rsid w:val="004A6801"/>
    <w:rsid w:val="004B3BDC"/>
    <w:rsid w:val="004B3C61"/>
    <w:rsid w:val="004C3390"/>
    <w:rsid w:val="004D65E3"/>
    <w:rsid w:val="004D7095"/>
    <w:rsid w:val="004E2B07"/>
    <w:rsid w:val="004E7F52"/>
    <w:rsid w:val="004F267C"/>
    <w:rsid w:val="004F6ED7"/>
    <w:rsid w:val="005013E2"/>
    <w:rsid w:val="0050342F"/>
    <w:rsid w:val="00503A24"/>
    <w:rsid w:val="0050514B"/>
    <w:rsid w:val="005053DD"/>
    <w:rsid w:val="00511F65"/>
    <w:rsid w:val="00530099"/>
    <w:rsid w:val="005318F5"/>
    <w:rsid w:val="005369A5"/>
    <w:rsid w:val="00542D26"/>
    <w:rsid w:val="005458F6"/>
    <w:rsid w:val="00552B3F"/>
    <w:rsid w:val="0059175C"/>
    <w:rsid w:val="0059466F"/>
    <w:rsid w:val="005965A2"/>
    <w:rsid w:val="005A113B"/>
    <w:rsid w:val="005A32A9"/>
    <w:rsid w:val="005A51AD"/>
    <w:rsid w:val="005A762C"/>
    <w:rsid w:val="005B0778"/>
    <w:rsid w:val="005B39A5"/>
    <w:rsid w:val="005C5E6E"/>
    <w:rsid w:val="005D04ED"/>
    <w:rsid w:val="005D2F2B"/>
    <w:rsid w:val="005D37E7"/>
    <w:rsid w:val="005D5A8C"/>
    <w:rsid w:val="005E1FA8"/>
    <w:rsid w:val="005E359E"/>
    <w:rsid w:val="005E5E3C"/>
    <w:rsid w:val="005F39AC"/>
    <w:rsid w:val="006160FC"/>
    <w:rsid w:val="00622117"/>
    <w:rsid w:val="00626532"/>
    <w:rsid w:val="00627529"/>
    <w:rsid w:val="006329EC"/>
    <w:rsid w:val="00637440"/>
    <w:rsid w:val="00646C4B"/>
    <w:rsid w:val="006508CF"/>
    <w:rsid w:val="006765A3"/>
    <w:rsid w:val="0067664E"/>
    <w:rsid w:val="006859DC"/>
    <w:rsid w:val="00686E88"/>
    <w:rsid w:val="00691B74"/>
    <w:rsid w:val="006942EC"/>
    <w:rsid w:val="00696B4F"/>
    <w:rsid w:val="00696C58"/>
    <w:rsid w:val="006A4515"/>
    <w:rsid w:val="006A6524"/>
    <w:rsid w:val="006A6917"/>
    <w:rsid w:val="006A6979"/>
    <w:rsid w:val="006B4C45"/>
    <w:rsid w:val="006B642C"/>
    <w:rsid w:val="006B717B"/>
    <w:rsid w:val="006B729E"/>
    <w:rsid w:val="006C361B"/>
    <w:rsid w:val="006D070E"/>
    <w:rsid w:val="006D26F7"/>
    <w:rsid w:val="006D42FE"/>
    <w:rsid w:val="006E0168"/>
    <w:rsid w:val="006E76A1"/>
    <w:rsid w:val="006E7A49"/>
    <w:rsid w:val="006F77C1"/>
    <w:rsid w:val="007012FC"/>
    <w:rsid w:val="007051EC"/>
    <w:rsid w:val="00707DF2"/>
    <w:rsid w:val="007126A9"/>
    <w:rsid w:val="00713108"/>
    <w:rsid w:val="007222C7"/>
    <w:rsid w:val="0072371C"/>
    <w:rsid w:val="00724AF9"/>
    <w:rsid w:val="00726062"/>
    <w:rsid w:val="0073403A"/>
    <w:rsid w:val="00736119"/>
    <w:rsid w:val="007432F9"/>
    <w:rsid w:val="00754C54"/>
    <w:rsid w:val="00763803"/>
    <w:rsid w:val="007650AA"/>
    <w:rsid w:val="00765F4F"/>
    <w:rsid w:val="00780D21"/>
    <w:rsid w:val="00790CFE"/>
    <w:rsid w:val="007927A4"/>
    <w:rsid w:val="007957AB"/>
    <w:rsid w:val="00796AF2"/>
    <w:rsid w:val="007B0496"/>
    <w:rsid w:val="007B135B"/>
    <w:rsid w:val="007C6DE1"/>
    <w:rsid w:val="007D7C20"/>
    <w:rsid w:val="007E087C"/>
    <w:rsid w:val="007F1E25"/>
    <w:rsid w:val="007F2F1D"/>
    <w:rsid w:val="007F7144"/>
    <w:rsid w:val="00810E82"/>
    <w:rsid w:val="00813974"/>
    <w:rsid w:val="0082215B"/>
    <w:rsid w:val="0082458F"/>
    <w:rsid w:val="0082729D"/>
    <w:rsid w:val="008350D0"/>
    <w:rsid w:val="00835BE1"/>
    <w:rsid w:val="00857663"/>
    <w:rsid w:val="008665F6"/>
    <w:rsid w:val="0087703F"/>
    <w:rsid w:val="00884CA8"/>
    <w:rsid w:val="008B1C43"/>
    <w:rsid w:val="008B58B4"/>
    <w:rsid w:val="008C5096"/>
    <w:rsid w:val="008C6521"/>
    <w:rsid w:val="008D5BA7"/>
    <w:rsid w:val="008D6D1F"/>
    <w:rsid w:val="008F01B3"/>
    <w:rsid w:val="008F0284"/>
    <w:rsid w:val="008F0739"/>
    <w:rsid w:val="008F2121"/>
    <w:rsid w:val="00902378"/>
    <w:rsid w:val="0090390C"/>
    <w:rsid w:val="00907064"/>
    <w:rsid w:val="0091055D"/>
    <w:rsid w:val="00911589"/>
    <w:rsid w:val="00914B6E"/>
    <w:rsid w:val="0092032C"/>
    <w:rsid w:val="009263CA"/>
    <w:rsid w:val="00927E29"/>
    <w:rsid w:val="00931E9E"/>
    <w:rsid w:val="009348E3"/>
    <w:rsid w:val="009375EF"/>
    <w:rsid w:val="00954672"/>
    <w:rsid w:val="00966BC8"/>
    <w:rsid w:val="009670AB"/>
    <w:rsid w:val="00971DD4"/>
    <w:rsid w:val="0097573F"/>
    <w:rsid w:val="009778A9"/>
    <w:rsid w:val="00991B58"/>
    <w:rsid w:val="00993594"/>
    <w:rsid w:val="009A7BCC"/>
    <w:rsid w:val="009B23FA"/>
    <w:rsid w:val="009B5637"/>
    <w:rsid w:val="009C0AFB"/>
    <w:rsid w:val="009C2B7C"/>
    <w:rsid w:val="009C3812"/>
    <w:rsid w:val="009D2F7D"/>
    <w:rsid w:val="009D5E4E"/>
    <w:rsid w:val="009E3173"/>
    <w:rsid w:val="009F2E1C"/>
    <w:rsid w:val="009F61DB"/>
    <w:rsid w:val="00A02B3D"/>
    <w:rsid w:val="00A103E9"/>
    <w:rsid w:val="00A1299F"/>
    <w:rsid w:val="00A12D22"/>
    <w:rsid w:val="00A1650F"/>
    <w:rsid w:val="00A16D54"/>
    <w:rsid w:val="00A2348F"/>
    <w:rsid w:val="00A26395"/>
    <w:rsid w:val="00A32B9F"/>
    <w:rsid w:val="00A44762"/>
    <w:rsid w:val="00A57752"/>
    <w:rsid w:val="00A623B5"/>
    <w:rsid w:val="00A64B34"/>
    <w:rsid w:val="00A72522"/>
    <w:rsid w:val="00A87260"/>
    <w:rsid w:val="00AA3F6F"/>
    <w:rsid w:val="00AB1EB9"/>
    <w:rsid w:val="00AB2D61"/>
    <w:rsid w:val="00AC07B1"/>
    <w:rsid w:val="00AC1FAC"/>
    <w:rsid w:val="00AC24CA"/>
    <w:rsid w:val="00AC4221"/>
    <w:rsid w:val="00AC6FE0"/>
    <w:rsid w:val="00AD2987"/>
    <w:rsid w:val="00AD5AE8"/>
    <w:rsid w:val="00AE0218"/>
    <w:rsid w:val="00AE0B74"/>
    <w:rsid w:val="00AE5936"/>
    <w:rsid w:val="00AF03B3"/>
    <w:rsid w:val="00B03B1E"/>
    <w:rsid w:val="00B03B9F"/>
    <w:rsid w:val="00B05354"/>
    <w:rsid w:val="00B0711C"/>
    <w:rsid w:val="00B33653"/>
    <w:rsid w:val="00B5180F"/>
    <w:rsid w:val="00B55807"/>
    <w:rsid w:val="00B60C6C"/>
    <w:rsid w:val="00B66173"/>
    <w:rsid w:val="00B73212"/>
    <w:rsid w:val="00B73AA7"/>
    <w:rsid w:val="00B74B7C"/>
    <w:rsid w:val="00B77E0D"/>
    <w:rsid w:val="00B978DD"/>
    <w:rsid w:val="00BA3D37"/>
    <w:rsid w:val="00BA3F67"/>
    <w:rsid w:val="00BA62FD"/>
    <w:rsid w:val="00BB42E3"/>
    <w:rsid w:val="00BB4CBD"/>
    <w:rsid w:val="00BD5255"/>
    <w:rsid w:val="00BE0A26"/>
    <w:rsid w:val="00BE50D2"/>
    <w:rsid w:val="00BF7FAF"/>
    <w:rsid w:val="00C02D0C"/>
    <w:rsid w:val="00C0412E"/>
    <w:rsid w:val="00C046EC"/>
    <w:rsid w:val="00C13396"/>
    <w:rsid w:val="00C167D1"/>
    <w:rsid w:val="00C30FF6"/>
    <w:rsid w:val="00C32842"/>
    <w:rsid w:val="00C40794"/>
    <w:rsid w:val="00C42B57"/>
    <w:rsid w:val="00C46A09"/>
    <w:rsid w:val="00C46C44"/>
    <w:rsid w:val="00C51A0F"/>
    <w:rsid w:val="00C609C6"/>
    <w:rsid w:val="00C611E7"/>
    <w:rsid w:val="00C61D41"/>
    <w:rsid w:val="00C643FF"/>
    <w:rsid w:val="00C71B44"/>
    <w:rsid w:val="00C75AEB"/>
    <w:rsid w:val="00C82056"/>
    <w:rsid w:val="00C82536"/>
    <w:rsid w:val="00C85938"/>
    <w:rsid w:val="00C85E90"/>
    <w:rsid w:val="00C9062F"/>
    <w:rsid w:val="00CC495B"/>
    <w:rsid w:val="00CD0760"/>
    <w:rsid w:val="00CD3F9B"/>
    <w:rsid w:val="00CD4BE4"/>
    <w:rsid w:val="00CD724F"/>
    <w:rsid w:val="00CD735C"/>
    <w:rsid w:val="00CE3B40"/>
    <w:rsid w:val="00CE48B8"/>
    <w:rsid w:val="00CE591E"/>
    <w:rsid w:val="00CF6A83"/>
    <w:rsid w:val="00D12505"/>
    <w:rsid w:val="00D126EB"/>
    <w:rsid w:val="00D149A4"/>
    <w:rsid w:val="00D21438"/>
    <w:rsid w:val="00D42B0E"/>
    <w:rsid w:val="00D548D2"/>
    <w:rsid w:val="00D55A23"/>
    <w:rsid w:val="00D612A3"/>
    <w:rsid w:val="00D615EF"/>
    <w:rsid w:val="00D70C44"/>
    <w:rsid w:val="00D727DE"/>
    <w:rsid w:val="00D75E6D"/>
    <w:rsid w:val="00D841A3"/>
    <w:rsid w:val="00D875F9"/>
    <w:rsid w:val="00D87640"/>
    <w:rsid w:val="00D878B5"/>
    <w:rsid w:val="00D90458"/>
    <w:rsid w:val="00D91828"/>
    <w:rsid w:val="00D9263D"/>
    <w:rsid w:val="00DB1001"/>
    <w:rsid w:val="00DB45BA"/>
    <w:rsid w:val="00DB5343"/>
    <w:rsid w:val="00DC2734"/>
    <w:rsid w:val="00DC5118"/>
    <w:rsid w:val="00DC5FD4"/>
    <w:rsid w:val="00DD1023"/>
    <w:rsid w:val="00DD16EF"/>
    <w:rsid w:val="00DD23E1"/>
    <w:rsid w:val="00DD4236"/>
    <w:rsid w:val="00DF202C"/>
    <w:rsid w:val="00E16DC7"/>
    <w:rsid w:val="00E20313"/>
    <w:rsid w:val="00E25431"/>
    <w:rsid w:val="00E25591"/>
    <w:rsid w:val="00E34F9C"/>
    <w:rsid w:val="00E358DC"/>
    <w:rsid w:val="00E406C6"/>
    <w:rsid w:val="00E420AF"/>
    <w:rsid w:val="00E44A81"/>
    <w:rsid w:val="00E535DC"/>
    <w:rsid w:val="00E56448"/>
    <w:rsid w:val="00E57498"/>
    <w:rsid w:val="00E616AC"/>
    <w:rsid w:val="00E63804"/>
    <w:rsid w:val="00E653A4"/>
    <w:rsid w:val="00E655D5"/>
    <w:rsid w:val="00E672C6"/>
    <w:rsid w:val="00E70A63"/>
    <w:rsid w:val="00E74C1F"/>
    <w:rsid w:val="00E75081"/>
    <w:rsid w:val="00E767B2"/>
    <w:rsid w:val="00E81F1F"/>
    <w:rsid w:val="00E82AE0"/>
    <w:rsid w:val="00E850D8"/>
    <w:rsid w:val="00E853D0"/>
    <w:rsid w:val="00E85B00"/>
    <w:rsid w:val="00E90352"/>
    <w:rsid w:val="00E935F0"/>
    <w:rsid w:val="00E9383D"/>
    <w:rsid w:val="00E97283"/>
    <w:rsid w:val="00EA1801"/>
    <w:rsid w:val="00EA56BE"/>
    <w:rsid w:val="00EA5F84"/>
    <w:rsid w:val="00EB1079"/>
    <w:rsid w:val="00EB6E67"/>
    <w:rsid w:val="00EC2C7D"/>
    <w:rsid w:val="00EC407A"/>
    <w:rsid w:val="00EC4F1C"/>
    <w:rsid w:val="00EC69DA"/>
    <w:rsid w:val="00EC76C8"/>
    <w:rsid w:val="00ED270A"/>
    <w:rsid w:val="00ED5087"/>
    <w:rsid w:val="00ED7168"/>
    <w:rsid w:val="00EE4415"/>
    <w:rsid w:val="00EE629B"/>
    <w:rsid w:val="00EF2E85"/>
    <w:rsid w:val="00EF4D61"/>
    <w:rsid w:val="00EF5296"/>
    <w:rsid w:val="00F114D4"/>
    <w:rsid w:val="00F12CFD"/>
    <w:rsid w:val="00F26B0E"/>
    <w:rsid w:val="00F308F0"/>
    <w:rsid w:val="00F32641"/>
    <w:rsid w:val="00F4132A"/>
    <w:rsid w:val="00F51979"/>
    <w:rsid w:val="00F52756"/>
    <w:rsid w:val="00F55053"/>
    <w:rsid w:val="00F56E34"/>
    <w:rsid w:val="00F71EDA"/>
    <w:rsid w:val="00F745DC"/>
    <w:rsid w:val="00F84DAA"/>
    <w:rsid w:val="00F91B3B"/>
    <w:rsid w:val="00F942F6"/>
    <w:rsid w:val="00F97D30"/>
    <w:rsid w:val="00FA0B5E"/>
    <w:rsid w:val="00FA407E"/>
    <w:rsid w:val="00FB3A39"/>
    <w:rsid w:val="00FB4F59"/>
    <w:rsid w:val="00FB69DB"/>
    <w:rsid w:val="00FC0E21"/>
    <w:rsid w:val="00FC4FF3"/>
    <w:rsid w:val="00FD021C"/>
    <w:rsid w:val="00FD3D74"/>
    <w:rsid w:val="00FD4258"/>
    <w:rsid w:val="00FD6725"/>
    <w:rsid w:val="00FD726E"/>
    <w:rsid w:val="00FE2FB8"/>
    <w:rsid w:val="00FF477C"/>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18D7"/>
  <w15:chartTrackingRefBased/>
  <w15:docId w15:val="{2846E575-D324-4AEE-B127-2B116C7C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u w:val="single"/>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2DBA"/>
    <w:pPr>
      <w:autoSpaceDE w:val="0"/>
      <w:autoSpaceDN w:val="0"/>
      <w:adjustRightInd w:val="0"/>
      <w:ind w:firstLine="0"/>
    </w:pPr>
    <w:rPr>
      <w:rFonts w:ascii="Corbel" w:hAnsi="Corbel" w:cs="Corbel"/>
      <w:color w:val="000000"/>
    </w:rPr>
  </w:style>
  <w:style w:type="paragraph" w:styleId="ListParagraph">
    <w:name w:val="List Paragraph"/>
    <w:basedOn w:val="Normal"/>
    <w:uiPriority w:val="34"/>
    <w:qFormat/>
    <w:rsid w:val="006B717B"/>
    <w:pPr>
      <w:ind w:firstLine="0"/>
      <w:contextualSpacing/>
    </w:pPr>
    <w:rPr>
      <w:rFonts w:ascii="Times New Roman" w:hAnsi="Times New Roman" w:cs="Times New Roman"/>
    </w:rPr>
  </w:style>
  <w:style w:type="paragraph" w:styleId="FootnoteText">
    <w:name w:val="footnote text"/>
    <w:basedOn w:val="Normal"/>
    <w:link w:val="FootnoteTextChar"/>
    <w:uiPriority w:val="99"/>
    <w:semiHidden/>
    <w:unhideWhenUsed/>
    <w:rsid w:val="00AE5936"/>
    <w:rPr>
      <w:sz w:val="20"/>
      <w:szCs w:val="20"/>
    </w:rPr>
  </w:style>
  <w:style w:type="character" w:customStyle="1" w:styleId="FootnoteTextChar">
    <w:name w:val="Footnote Text Char"/>
    <w:basedOn w:val="DefaultParagraphFont"/>
    <w:link w:val="FootnoteText"/>
    <w:uiPriority w:val="99"/>
    <w:semiHidden/>
    <w:rsid w:val="00AE5936"/>
    <w:rPr>
      <w:color w:val="auto"/>
      <w:sz w:val="20"/>
      <w:szCs w:val="20"/>
    </w:rPr>
  </w:style>
  <w:style w:type="character" w:styleId="FootnoteReference">
    <w:name w:val="footnote reference"/>
    <w:basedOn w:val="DefaultParagraphFont"/>
    <w:uiPriority w:val="99"/>
    <w:semiHidden/>
    <w:unhideWhenUsed/>
    <w:rsid w:val="00AE5936"/>
    <w:rPr>
      <w:vertAlign w:val="superscript"/>
    </w:rPr>
  </w:style>
  <w:style w:type="paragraph" w:styleId="BalloonText">
    <w:name w:val="Balloon Text"/>
    <w:basedOn w:val="Normal"/>
    <w:link w:val="BalloonTextChar"/>
    <w:uiPriority w:val="99"/>
    <w:semiHidden/>
    <w:unhideWhenUsed/>
    <w:rsid w:val="00136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65"/>
    <w:rPr>
      <w:rFonts w:ascii="Segoe UI" w:hAnsi="Segoe UI" w:cs="Segoe UI"/>
      <w:sz w:val="18"/>
      <w:szCs w:val="18"/>
    </w:rPr>
  </w:style>
  <w:style w:type="character" w:styleId="Hyperlink">
    <w:name w:val="Hyperlink"/>
    <w:basedOn w:val="DefaultParagraphFont"/>
    <w:uiPriority w:val="99"/>
    <w:unhideWhenUsed/>
    <w:rsid w:val="00136965"/>
    <w:rPr>
      <w:color w:val="0563C1" w:themeColor="hyperlink"/>
      <w:u w:val="single"/>
    </w:rPr>
  </w:style>
  <w:style w:type="paragraph" w:styleId="Header">
    <w:name w:val="header"/>
    <w:basedOn w:val="Normal"/>
    <w:link w:val="HeaderChar"/>
    <w:uiPriority w:val="99"/>
    <w:unhideWhenUsed/>
    <w:rsid w:val="009B5637"/>
    <w:pPr>
      <w:tabs>
        <w:tab w:val="center" w:pos="4680"/>
        <w:tab w:val="right" w:pos="9360"/>
      </w:tabs>
    </w:pPr>
  </w:style>
  <w:style w:type="character" w:customStyle="1" w:styleId="HeaderChar">
    <w:name w:val="Header Char"/>
    <w:basedOn w:val="DefaultParagraphFont"/>
    <w:link w:val="Header"/>
    <w:uiPriority w:val="99"/>
    <w:rsid w:val="009B5637"/>
  </w:style>
  <w:style w:type="paragraph" w:styleId="Footer">
    <w:name w:val="footer"/>
    <w:basedOn w:val="Normal"/>
    <w:link w:val="FooterChar"/>
    <w:uiPriority w:val="99"/>
    <w:unhideWhenUsed/>
    <w:rsid w:val="009B5637"/>
    <w:pPr>
      <w:tabs>
        <w:tab w:val="center" w:pos="4680"/>
        <w:tab w:val="right" w:pos="9360"/>
      </w:tabs>
    </w:pPr>
  </w:style>
  <w:style w:type="character" w:customStyle="1" w:styleId="FooterChar">
    <w:name w:val="Footer Char"/>
    <w:basedOn w:val="DefaultParagraphFont"/>
    <w:link w:val="Footer"/>
    <w:uiPriority w:val="99"/>
    <w:rsid w:val="009B5637"/>
  </w:style>
  <w:style w:type="paragraph" w:styleId="NormalWeb">
    <w:name w:val="Normal (Web)"/>
    <w:basedOn w:val="Normal"/>
    <w:uiPriority w:val="99"/>
    <w:unhideWhenUsed/>
    <w:rsid w:val="000A033A"/>
    <w:pPr>
      <w:spacing w:before="100" w:beforeAutospacing="1" w:after="100" w:afterAutospacing="1"/>
      <w:ind w:left="0" w:firstLine="0"/>
    </w:pPr>
    <w:rPr>
      <w:rFonts w:ascii="Times New Roman" w:eastAsia="Times New Roman" w:hAnsi="Times New Roman" w:cs="Times New Roman"/>
      <w:color w:val="auto"/>
      <w:u w:val="none"/>
    </w:rPr>
  </w:style>
  <w:style w:type="character" w:styleId="CommentReference">
    <w:name w:val="annotation reference"/>
    <w:basedOn w:val="DefaultParagraphFont"/>
    <w:uiPriority w:val="99"/>
    <w:semiHidden/>
    <w:unhideWhenUsed/>
    <w:rsid w:val="001A0422"/>
    <w:rPr>
      <w:sz w:val="16"/>
      <w:szCs w:val="16"/>
    </w:rPr>
  </w:style>
  <w:style w:type="paragraph" w:styleId="CommentText">
    <w:name w:val="annotation text"/>
    <w:basedOn w:val="Normal"/>
    <w:link w:val="CommentTextChar"/>
    <w:uiPriority w:val="99"/>
    <w:semiHidden/>
    <w:unhideWhenUsed/>
    <w:rsid w:val="001A0422"/>
    <w:rPr>
      <w:sz w:val="20"/>
      <w:szCs w:val="20"/>
    </w:rPr>
  </w:style>
  <w:style w:type="character" w:customStyle="1" w:styleId="CommentTextChar">
    <w:name w:val="Comment Text Char"/>
    <w:basedOn w:val="DefaultParagraphFont"/>
    <w:link w:val="CommentText"/>
    <w:uiPriority w:val="99"/>
    <w:semiHidden/>
    <w:rsid w:val="001A0422"/>
    <w:rPr>
      <w:sz w:val="20"/>
      <w:szCs w:val="20"/>
    </w:rPr>
  </w:style>
  <w:style w:type="paragraph" w:styleId="CommentSubject">
    <w:name w:val="annotation subject"/>
    <w:basedOn w:val="CommentText"/>
    <w:next w:val="CommentText"/>
    <w:link w:val="CommentSubjectChar"/>
    <w:uiPriority w:val="99"/>
    <w:semiHidden/>
    <w:unhideWhenUsed/>
    <w:rsid w:val="001A0422"/>
    <w:rPr>
      <w:b/>
      <w:bCs/>
    </w:rPr>
  </w:style>
  <w:style w:type="character" w:customStyle="1" w:styleId="CommentSubjectChar">
    <w:name w:val="Comment Subject Char"/>
    <w:basedOn w:val="CommentTextChar"/>
    <w:link w:val="CommentSubject"/>
    <w:uiPriority w:val="99"/>
    <w:semiHidden/>
    <w:rsid w:val="001A0422"/>
    <w:rPr>
      <w:b/>
      <w:bCs/>
      <w:sz w:val="20"/>
      <w:szCs w:val="20"/>
    </w:rPr>
  </w:style>
  <w:style w:type="paragraph" w:styleId="Revision">
    <w:name w:val="Revision"/>
    <w:hidden/>
    <w:uiPriority w:val="99"/>
    <w:semiHidden/>
    <w:rsid w:val="002C423E"/>
    <w:pPr>
      <w:ind w:left="0" w:firstLine="0"/>
    </w:pPr>
  </w:style>
  <w:style w:type="character" w:styleId="FollowedHyperlink">
    <w:name w:val="FollowedHyperlink"/>
    <w:basedOn w:val="DefaultParagraphFont"/>
    <w:uiPriority w:val="99"/>
    <w:semiHidden/>
    <w:unhideWhenUsed/>
    <w:rsid w:val="000A4A7D"/>
    <w:rPr>
      <w:color w:val="954F72" w:themeColor="followedHyperlink"/>
      <w:u w:val="single"/>
    </w:rPr>
  </w:style>
  <w:style w:type="character" w:styleId="UnresolvedMention">
    <w:name w:val="Unresolved Mention"/>
    <w:basedOn w:val="DefaultParagraphFont"/>
    <w:uiPriority w:val="99"/>
    <w:semiHidden/>
    <w:unhideWhenUsed/>
    <w:rsid w:val="00931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ind.msstate.edu/research/publications/cit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msstate.edu/our-products/separate-vs-combin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ind.msstate.edu/research/completed/employment-outcomes-ssdi-beneficiar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B942-5940-4DF8-A59F-64469C99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4057</Words>
  <Characters>24140</Characters>
  <Application>Microsoft Office Word</Application>
  <DocSecurity>0</DocSecurity>
  <Lines>455</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jmg1</dc:creator>
  <cp:keywords/>
  <dc:description/>
  <cp:lastModifiedBy>Moody, Sarah</cp:lastModifiedBy>
  <cp:revision>2</cp:revision>
  <cp:lastPrinted>2017-04-10T20:54:00Z</cp:lastPrinted>
  <dcterms:created xsi:type="dcterms:W3CDTF">2022-06-10T14:27:00Z</dcterms:created>
  <dcterms:modified xsi:type="dcterms:W3CDTF">2022-06-10T14:27:00Z</dcterms:modified>
</cp:coreProperties>
</file>